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590" w:val="left" w:leader="none"/>
        </w:tabs>
        <w:spacing w:line="240" w:lineRule="auto"/>
        <w:ind w:left="110" w:right="0" w:firstLine="0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mc:AlternateContent>
          <mc:Choice Requires="wps">
            <w:drawing>
              <wp:inline distT="0" distB="0" distL="0" distR="0">
                <wp:extent cx="2033905" cy="549275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33905" cy="549275"/>
                          <a:chExt cx="2033905" cy="549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94916" y="542925"/>
                            <a:ext cx="38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350">
                                <a:moveTo>
                                  <a:pt x="3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8417" y="6350"/>
                                </a:lnTo>
                                <a:lnTo>
                                  <a:pt x="38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645" cy="526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60.15pt;height:43.25pt;mso-position-horizontal-relative:char;mso-position-vertical-relative:line" id="docshapegroup1" coordorigin="0,0" coordsize="3203,865">
                <v:rect style="position:absolute;left:3141;top:855;width:61;height:10" id="docshape2" filled="true" fillcolor="#000000" stroked="false">
                  <v:fill type="solid"/>
                </v:rect>
                <v:shape style="position:absolute;left:0;top:0;width:3140;height:829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position w:val="4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drawing>
          <wp:inline distT="0" distB="0" distL="0" distR="0">
            <wp:extent cx="1871309" cy="466725"/>
            <wp:effectExtent l="0" t="0" r="0" b="0"/>
            <wp:docPr id="4" name="Image 4" descr="Shields U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Shields U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0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75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2 de março de 2022</w:t>
      </w:r>
    </w:p>
    <w:p>
      <w:pPr>
        <w:pStyle w:val="BodyText"/>
        <w:spacing w:before="115"/>
      </w:pPr>
    </w:p>
    <w:p>
      <w:pPr>
        <w:pStyle w:val="BodyText"/>
        <w:spacing w:line="287" w:lineRule="exact" w:before="1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Resposta da Workiva ao ataque da Rússia à Ucrânia: Tempos voláteis exigem maior atenção</w:t>
      </w:r>
    </w:p>
    <w:p>
      <w:pPr>
        <w:pStyle w:val="BodyText"/>
        <w:spacing w:line="287" w:lineRule="exact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preparação para a segurança cibernética.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A Workiva segue à risca as diretrizes publicadas pela </w:t>
      </w:r>
      <w:hyperlink r:id="rId7">
        <w:r>
          <w:rPr>
            <w:color w:val="1154CC"/>
            <w:u w:val="single" w:color="1154CC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iniciativa</w:t>
        </w:r>
        <w:r>
          <w:rPr>
            <w:u w:val="non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SHIELDS UP</w:t>
        </w:r>
        <w:r>
          <w:rPr>
            <w:color w:val="1154CC"/>
            <w:u w:val="single" w:color="1154CC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da U.S. Cybersecurity &amp; Infrastructure Security Agency (CISO)</w:t>
        </w:r>
        <w:r>
          <w:rPr>
            <w:color w:val="1154CC"/>
            <w:u w:val="single" w:color="1154CC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e se comprometeu a compartilhar quaisquer incidentes ou atividades anômalas com as autoridades policiais competentes na(s) jurisdição(ões) onde a atividade ocorre.</w:t>
        </w:r>
      </w:hyperlink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before="1"/>
        <w:rPr>
          <w:u w:val="none"/>
          <w:lang w:val="pt-BR"/>
          <w:rFonts/>
        </w:rPr>
      </w:pPr>
      <w:bookmarkStart w:name="Reduce the likelihood of a damaging cybe" w:id="1"/>
      <w:bookmarkEnd w:id="1"/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3"/>
          <w:lang w:val="pt-BR"/>
          <w:rFonts/>
        </w:rPr>
        <w:t xml:space="preserve">Reduzir a probabilidade de uma intrusão cibernética prejudicial</w:t>
      </w:r>
    </w:p>
    <w:p>
      <w:pPr>
        <w:pStyle w:val="BodyText"/>
        <w:rPr>
          <w:b/>
          <w:lang w:val="pt-BR"/>
          <w:rFonts/>
        </w:rPr>
      </w:pPr>
    </w:p>
    <w:p>
      <w:pPr>
        <w:pStyle w:val="BodyText"/>
        <w:spacing w:before="27"/>
        <w:rPr>
          <w:b/>
          <w:lang w:val="pt-BR"/>
          <w:rFonts/>
        </w:rPr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Valide que todos os acessos remotos à rede da organização e os acessos privilegiados ou administrativos</w:t>
      </w:r>
    </w:p>
    <w:p>
      <w:pPr>
        <w:spacing w:before="1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acesso requer autenticação multifatorial.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2" w:lineRule="auto" w:before="159" w:after="0"/>
        <w:ind w:left="830" w:right="91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exige que todos os constituintes da Workiva usem o Single Sign On com Multi Factor Authentication.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 Workiva recomenda que nossos clientes implementem o Single Sign On.</w:t>
      </w:r>
    </w:p>
    <w:p>
      <w:pPr>
        <w:pStyle w:val="BodyText"/>
      </w:pPr>
    </w:p>
    <w:p>
      <w:pPr>
        <w:pStyle w:val="BodyText"/>
        <w:spacing w:before="18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Assegure-se de que o software esteja atualizado, priorizando as atualizações que tratam das</w:t>
      </w:r>
      <w:hyperlink r:id="rId8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vulnerabilidades</w:t>
        </w:r>
      </w:hyperlink>
      <w:hyperlink r:id="rId8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exploradas conhecidas </w:t>
        </w:r>
      </w:hyperlink>
      <w:r>
        <w:rPr>
          <w:b/>
          <w:color w:val="2B71AE"/>
          <w:spacing w:val="80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333333"/>
          <w:w w:val="9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 identificadas pela CISA</w:t>
      </w:r>
      <w:r>
        <w:rPr>
          <w:b/>
          <w:color w:val="333333"/>
          <w:w w:val="90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60" w:after="0"/>
        <w:ind w:left="830" w:right="149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 Workiva utiliza mecanismos automatizados de aplicação de patches para garantir que o software do host e do contêiner seja corrigido e atualizado.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As vulnerabilidades identificadas em bibliotecas de terceiros incluídas em nosso aplicativo são priorizadas por gravidade e corrigidas como parte de nosso SDLC.</w:t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Confirme se a equipe de TI da organização desativou todas as portas e protocolos que não são</w:t>
      </w:r>
    </w:p>
    <w:p>
      <w:pPr>
        <w:spacing w:before="1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essenciais para fins comerciais.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2" w:lineRule="auto" w:before="154" w:after="0"/>
        <w:ind w:left="830" w:right="128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estabeleceu e documentou nossas definições de configuração de acordo com as linhas de base do Center for Internet Security (CIS) e as listas de verificação compatíveis com o SCAP.</w:t>
      </w:r>
    </w:p>
    <w:p>
      <w:pPr>
        <w:pStyle w:val="BodyText"/>
        <w:spacing w:before="277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88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 a organização estiver usando serviços em nuvem, certifique-se de que o pessoal de TI tenha analisado e implementado </w:t>
      </w:r>
      <w:hyperlink r:id="rId9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1"/>
            <w:lang w:val="pt-BR"/>
            <w:rFonts/>
          </w:rPr>
          <w:t xml:space="preserve">os fortes controles descritos na orientação da CISA</w:t>
        </w:r>
        <w:r>
          <w:rPr>
            <w:b/>
            <w:color w:val="333333"/>
            <w:w w:val="90"/>
            <w:sz w:val="24"/>
            <w:u w:val="none"/>
            <w:i w:val="0"/>
            <w:smallCaps w:val="0"/>
            <w:strike w:val="0"/>
            <w:vertAlign w:val="baseline"/>
            <w:lang w:val="pt-BR"/>
            <w:rFonts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16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A Workiva obteve o FedRAMP Moderate e a ISO 27001:2013.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30" w:right="209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Todo o acesso à Workiva é baseado em privilégios mínimos e requer o uso de IDs exclusivos com adesão às nossas políticas de senha, incluindo a exigência de logon único e autenticação de dois fatores.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acesso deve ser aprovado pelo gerente funcional e pelo sistema</w:t>
      </w:r>
    </w:p>
    <w:p>
      <w:pPr>
        <w:spacing w:after="0" w:line="240" w:lineRule="auto"/>
        <w:jc w:val="left"/>
        <w:rPr>
          <w:rFonts w:ascii="Symbol" w:hAnsi="Symbol"/>
          <w:sz w:val="24"/>
          <w:lang w:val="pt-BR"/>
        </w:rPr>
        <w:sectPr>
          <w:type w:val="continuous"/>
          <w:pgSz w:w="12240" w:h="15840"/>
          <w:pgMar w:top="1200" w:bottom="280" w:left="880" w:right="880"/>
        </w:sectPr>
      </w:pPr>
    </w:p>
    <w:p>
      <w:pPr>
        <w:pStyle w:val="BodyText"/>
        <w:spacing w:line="287" w:lineRule="exact" w:before="75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proprietário, conforme gerenciado por meio de nosso sistema de tíquetes.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Todas as atividades dentro da rede da Workiva e</w:t>
      </w:r>
    </w:p>
    <w:p>
      <w:pPr>
        <w:pStyle w:val="BodyText"/>
        <w:spacing w:line="287" w:lineRule="exact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são registrados em nossa ferramenta SIEM centralizada.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30" w:right="536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A Workiva utiliza filtragem de spam de e-mail e bloqueia qualquer encaminhamento automático de e-mails. Além disso, os dispositivos e servidores executam ferramentas antimalware.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Os funcionários passam por avaliações mensais de engenharia social.</w:t>
      </w:r>
    </w:p>
    <w:p>
      <w:pPr>
        <w:pStyle w:val="BodyText"/>
        <w:spacing w:before="288"/>
      </w:pPr>
    </w:p>
    <w:p>
      <w:pPr>
        <w:spacing w:line="235" w:lineRule="auto" w:before="0"/>
        <w:ind w:left="110" w:right="0" w:firstLine="0"/>
        <w:jc w:val="left"/>
        <w:rPr>
          <w:sz w:val="24"/>
          <w:lang w:val="pt-BR"/>
          <w:rFonts/>
        </w:rPr>
      </w:pPr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Inscreva-se nos </w:t>
      </w:r>
      <w:hyperlink r:id="rId10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serviços gratuitos de higiene cibernética da CISA</w:t>
        </w:r>
      </w:hyperlink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 incluindo a verificação de vulnerabilidades, para ajudar a reduzir</w:t>
      </w: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spacing w:val="-8"/>
          <w:lang w:val="pt-BR"/>
          <w:rFonts/>
        </w:rPr>
        <w:t xml:space="preserve"> a exposição a ameaças</w:t>
      </w:r>
      <w:r>
        <w:rPr>
          <w:color w:val="333333"/>
          <w:spacing w:val="-6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1" w:after="0"/>
        <w:ind w:left="830" w:right="16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Embora a Workiva não esteja qualificada para os serviços da CISA (não é um provedor de infraestrutura crítica), a Workiva é FedRAMP Moderate.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Além disso, a Workiva fornece aos clientes relatórios de terceiros feitos por provedores autorizados pelo PCI/CREST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para realizar varreduras e testes externos semestralmente, além de nossas varreduras e testes internos.</w:t>
      </w:r>
    </w:p>
    <w:p>
      <w:pPr>
        <w:pStyle w:val="BodyText"/>
        <w:spacing w:before="7"/>
      </w:pPr>
    </w:p>
    <w:p>
      <w:pPr>
        <w:pStyle w:val="Heading1"/>
        <w:rPr>
          <w:u w:val="none"/>
          <w:lang w:val="pt-BR"/>
          <w:rFonts/>
        </w:rPr>
      </w:pPr>
      <w:bookmarkStart w:name="Take steps to quickly detect a potential" w:id="2"/>
      <w:bookmarkEnd w:id="2"/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5"/>
          <w:lang w:val="pt-BR"/>
          <w:rFonts/>
        </w:rPr>
        <w:t xml:space="preserve">Tome medidas para detectar rapidamente uma possível intrusão</w:t>
      </w:r>
    </w:p>
    <w:p>
      <w:pPr>
        <w:pStyle w:val="BodyText"/>
        <w:spacing w:before="13"/>
        <w:rPr>
          <w:b/>
          <w:lang w:val="pt-BR"/>
          <w:rFonts/>
        </w:rPr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bookmarkStart w:name="Ensure that cybersecurity/IT personnel a" w:id="3"/>
      <w:bookmarkEnd w:id="3"/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Certifique-se de que a equipe de segurança cibernética/TI esteja concentrada em identificar e avaliar rapidamente qualquer comportamento inesperado ou incomum da rede.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Habilite o registro em log para investigar melhor os problemas ou</w:t>
      </w: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eventos.</w:t>
      </w:r>
    </w:p>
    <w:p>
      <w:pPr>
        <w:pStyle w:val="BodyText"/>
        <w:spacing w:before="8"/>
        <w:rPr>
          <w:b/>
          <w:lang w:val="pt-BR"/>
          <w:rFonts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0" w:after="0"/>
        <w:ind w:left="830" w:right="122" w:hanging="360"/>
        <w:jc w:val="left"/>
        <w:rPr>
          <w:rFonts w:ascii="Symbol" w:hAnsi="Symbol"/>
          <w:sz w:val="24"/>
          <w:lang w:val="pt-BR"/>
        </w:rPr>
      </w:pPr>
      <w:bookmarkStart w:name=" Workiva utilizes our security informat" w:id="4"/>
      <w:bookmarkEnd w:id="4"/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Workiva utiliza nosso sistema de gerenciamento de eventos e informações de segurança (SIEM) para fornecer monitoramento contínuo e análise de registros.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equipe de segurança da informação da Workiva analisa os logs e alertas quanto a considerações de desempenho e segurança, incluindo logs relacionados a autenticação, endpoint, aplicativo da Web e muito mais.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Os logs são armazenados em um sistema central de logs, transmitidos por um canal criptografado, criptografados em repouso e segregados de outros sistemas e usuários.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Os registros não podem ser modificados depois de gravados e a exclusão do registro é monitorada.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As informações de registro coletadas incluem informações como hora, tamanho dos dados, latência da resposta, tipo de transação, método de serviço da Web invocado, informações de usuário/conta/serviço, nome do host/ip, ação e/ou recursos envolvidos.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Os registros são continuamente monitorados quanto a anormalidades e investigados de acordo com nossos padrões e políticas.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Nossos alertas são continuamente revisados quanto à precisão, cobertura e eficácia, e os manuais são desenvolvidos e mantidos para padronizar e melhorar a resposta.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Esses dados são usados para realizar investigações de eventos e incidentes de segurança relatados.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30" w:right="1203" w:hanging="360"/>
        <w:jc w:val="left"/>
        <w:rPr>
          <w:rFonts w:ascii="Symbol" w:hAnsi="Symbol"/>
          <w:sz w:val="24"/>
          <w:lang w:val="pt-BR"/>
        </w:rPr>
      </w:pPr>
      <w:bookmarkStart w:name=" Activities within a customer organizat" w:id="5"/>
      <w:bookmarkEnd w:id="5"/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Mais informações podem ser encontradas em nosso site de ajuda: </w:t>
      </w:r>
      <w:hyperlink r:id="rId11">
        <w:r>
          <w:rPr>
            <w:color w:val="1154CC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https://support.workiva.com/hc/en- </w:t>
        </w:r>
      </w:hyperlink>
      <w:r>
        <w:rPr>
          <w:color w:val="1154CC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11">
        <w:r>
          <w:rPr>
            <w:color w:val="1154CC"/>
            <w:spacing w:val="-2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us/articles/360035646392-View-Organization-Activities</w:t>
        </w:r>
      </w:hyperlink>
    </w:p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Confirme se toda a rede da organização está protegida por software antivírus/antimalware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 se as assinaturas dessas ferramentas estão atualizadas.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2" w:lineRule="auto" w:before="155" w:after="0"/>
        <w:ind w:left="830" w:right="687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dispositivos e servidores da Workiva são protegidos por software antimalware com proteção em tempo real e atualizações ativadas.</w:t>
      </w:r>
    </w:p>
    <w:p>
      <w:pPr>
        <w:spacing w:after="0" w:line="242" w:lineRule="auto"/>
        <w:jc w:val="left"/>
        <w:rPr>
          <w:rFonts w:ascii="Symbol" w:hAnsi="Symbol"/>
          <w:sz w:val="24"/>
          <w:lang w:val="pt-BR"/>
        </w:rPr>
        <w:sectPr>
          <w:pgSz w:w="12240" w:h="15840"/>
          <w:pgMar w:top="780" w:bottom="280" w:left="880" w:right="880"/>
        </w:sectPr>
      </w:pPr>
    </w:p>
    <w:p>
      <w:pPr>
        <w:spacing w:before="75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 estiver trabalhando com organizações ucranianas, tome cuidado extra para monitorar, inspecionar e isolar o tráfego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dessas organizações; analise atentamente os controles de acesso a esse tráfego.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5" w:after="0"/>
        <w:ind w:left="830" w:right="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Workiva não tem nenhuma operação na Ucrânia.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rPr>
          <w:u w:val="none"/>
          <w:lang w:val="pt-BR"/>
          <w:rFonts/>
        </w:rPr>
      </w:pPr>
      <w:bookmarkStart w:name="Ensure that the organization is prepared" w:id="6"/>
      <w:bookmarkEnd w:id="6"/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Assegurar que a organização esteja preparada para reagir em caso de invasão.</w:t>
      </w:r>
    </w:p>
    <w:p>
      <w:pPr>
        <w:spacing w:line="237" w:lineRule="auto" w:before="165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Designe uma equipe de resposta a crises com os principais pontos de contato para uma suspeita de incidente de segurança cibernética e funções/responsabilidades dentro da organização, incluindo tecnologia, comunicações, jurídico e continuidade dos negócios.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61" w:after="0"/>
        <w:ind w:left="830" w:right="290" w:hanging="360"/>
        <w:jc w:val="left"/>
        <w:rPr>
          <w:rFonts w:ascii="Symbol" w:hAnsi="Symbol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 equipe de Segurança da Informação da Workiva reconhece a necessidade de estar alerta aos riscos externos e está atenta à procura de possíveis problemas.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Também empregamos o monitoramento ativo das principais informações usadas para identificar ameaças.</w:t>
      </w:r>
    </w:p>
    <w:p>
      <w:pPr>
        <w:pStyle w:val="BodyText"/>
        <w:spacing w:line="287" w:lineRule="exact"/>
        <w:ind w:left="830"/>
      </w:pPr>
      <w:r>
        <w:rPr>
          <w:color w:val="33333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mantém um plano de resposta a incidentes que</w:t>
      </w:r>
      <w:r>
        <w:rPr>
          <w:color w:val="33333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aborda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93" w:lineRule="exact" w:before="156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Identificação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88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Documentação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90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Isolamento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88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Resolução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88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Comunicação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95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Escalonamento</w:t>
      </w: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w w:val="92"/>
          <w:lang w:val="pt-BR"/>
          <w:rFonts/>
        </w:rPr>
        <w:t xml:space="preserve">Assegurar a disponibilidade do pessoal-chave; identificar meios de fornecer suporte de surto para responder a</w:t>
      </w: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um incidente.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163" w:after="0"/>
        <w:ind w:left="830" w:right="17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Workiva mantém uma equipe de suporte 24 horas por dia, 7 dias por semana, com paginação de plantão para as equipes relevantes, que é testada anualmente como parte de nossos testes de continuidade de negócios e recuperação de desastres.</w:t>
      </w:r>
    </w:p>
    <w:p>
      <w:pPr>
        <w:pStyle w:val="BodyText"/>
      </w:pPr>
    </w:p>
    <w:p>
      <w:pPr>
        <w:pStyle w:val="BodyText"/>
        <w:spacing w:before="26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Realize um exercício de mesa para garantir que todos os participantes entendam suas funções durante um</w:t>
      </w:r>
      <w:r>
        <w:rPr>
          <w:b w:val="true"/>
          <w:color w:val="333333"/>
          <w:w w:val="95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incidente.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5" w:after="0"/>
        <w:ind w:left="830" w:right="201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 Workiva realiza exercícios de mesa trimestrais, além de testes anuais de continuidade de negócios e recuperação de desastres para garantir que as equipes estejam bem familiarizadas com os planos da Workiva e conheçam suas respectivas funções.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1"/>
        <w:rPr>
          <w:u w:val="none"/>
          <w:lang w:val="pt-BR"/>
          <w:rFonts/>
        </w:rPr>
      </w:pPr>
      <w:bookmarkStart w:name="Maximize the organization's resilience t" w:id="7"/>
      <w:bookmarkEnd w:id="7"/>
      <w:r>
        <w:rPr>
          <w:color w:val="333333"/>
          <w:w w:val="85"/>
          <w:u w:val="single" w:color="333333"/>
          <w:i w:val="false"/>
          <w:smallCaps w:val="false"/>
          <w:strike w:val="false"/>
          <w:vertAlign w:val="baseline"/>
          <w:lang w:val="pt-BR"/>
          <w:rFonts/>
        </w:rPr>
        <w:t xml:space="preserve">Maximizar a resistência da organização</w:t>
      </w:r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5"/>
          <w:lang w:val="pt-BR"/>
          <w:rFonts/>
        </w:rPr>
        <w:t xml:space="preserve"> a um incidente cibernético destrutivo</w:t>
      </w:r>
    </w:p>
    <w:p>
      <w:pPr>
        <w:pStyle w:val="BodyText"/>
        <w:spacing w:before="13"/>
        <w:rPr>
          <w:b/>
          <w:lang w:val="pt-BR"/>
          <w:rFonts/>
        </w:rPr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bookmarkStart w:name="Test backup procedures to ensure that cr" w:id="8"/>
      <w:bookmarkEnd w:id="8"/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 os procedimentos de backup para garantir que os dados essenciais possam ser restaurados rapidamente se a organização for</w:t>
      </w: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afetada por ransomware ou por um ataque cibernético destrutivo; certifique-se de que os backups estejam isolados das conexões de rede.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5" w:after="0"/>
        <w:ind w:left="830" w:right="564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Workiva utiliza backup de dados redundantes para oferecer recuperação pontual.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Além disso, a Workiva permite que os clientes administrem suas contas por conta própria.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qualquer momento, um cliente pode salvar/exportar um documento ou excluir um documento.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Workiva apóia a economia</w:t>
      </w:r>
    </w:p>
    <w:p>
      <w:pPr>
        <w:spacing w:after="0" w:line="240" w:lineRule="auto"/>
        <w:jc w:val="left"/>
        <w:rPr>
          <w:rFonts w:ascii="Symbol" w:hAnsi="Symbol"/>
          <w:sz w:val="24"/>
          <w:lang w:val="pt-BR"/>
        </w:rPr>
        <w:sectPr>
          <w:pgSz w:w="12240" w:h="15840"/>
          <w:pgMar w:top="780" w:bottom="280" w:left="880" w:right="880"/>
        </w:sectPr>
      </w:pPr>
    </w:p>
    <w:p>
      <w:pPr>
        <w:pStyle w:val="BodyText"/>
        <w:spacing w:line="235" w:lineRule="auto" w:before="80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arquivos nos formatos DOCX (MS Word), XLSX (MS Excel) ou PDF (Adobe) para arquivamento em seus próprios sistemas.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4" w:after="0"/>
        <w:ind w:left="830" w:right="119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Ferramentas do cliente: </w:t>
      </w:r>
      <w:hyperlink r:id="rId12">
        <w:r>
          <w:rPr>
            <w:color w:val="1154CC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https://support.workiva.com/hc/en-us/articles/360035639692-Prepare- </w:t>
        </w:r>
      </w:hyperlink>
      <w:r>
        <w:rPr>
          <w:color w:val="1154CC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12">
        <w:r>
          <w:rPr>
            <w:color w:val="1154CC"/>
            <w:spacing w:val="-2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for-the-Unexpected</w:t>
        </w:r>
      </w:hyperlink>
    </w:p>
    <w:p>
      <w:pPr>
        <w:pStyle w:val="BodyText"/>
        <w:spacing w:before="156"/>
      </w:pPr>
    </w:p>
    <w:p>
      <w:pPr>
        <w:spacing w:before="0"/>
        <w:ind w:left="110" w:right="302" w:firstLine="0"/>
        <w:jc w:val="both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 estiver usando sistemas de controle industrial ou tecnologia operacional, realize um teste de controles manuais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para garantir que as funções essenciais permaneçam operáveis se a rede da organização não estiver disponível ou não for confiável.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60" w:after="0"/>
        <w:ind w:left="830" w:right="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 Workiva não utiliza sistemas de controle industrial.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7" w:after="0"/>
        <w:ind w:left="830" w:right="321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Ao implementar as etapas acima, todas as organizações podem fazer progressos de curto prazo para melhorar a segurança cibernética e a resiliência.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Além disso, embora os incidentes cibernéticos recentes não tenham sido atribuídos a agentes específicos, a CISA recomenda que o pessoal de segurança cibernética/TI de todas as organizações analise o documento </w:t>
      </w:r>
      <w:hyperlink r:id="rId13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Understanding and Mitigating Russian State-Sponsored Cyber </w:t>
        </w:r>
      </w:hyperlink>
      <w:r>
        <w:rPr>
          <w:color w:val="2B71AE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13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Threats to U.S. Critical Infrastructure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A CISA também recomenda que as organizações visitem o </w:t>
      </w:r>
      <w:hyperlink r:id="rId14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StopRansomware.gov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, uma página da Web centralizada e de todo o governo que fornece recursos e alertas sobre ransomware.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48" w:after="0"/>
        <w:ind w:left="830" w:right="264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Como agência de defesa cibernética do país, a CISA está disponível para ajudar as organizações a melhorar a segurança cibernética e a resiliência, inclusive por meio de especialistas em segurança cibernética designados em todo o país.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No caso de um incidente cibernético, a CISA pode oferecer assistência às organizações vítimas e usar as informações dos relatórios de incidentes para proteger outras possíveis vítimas.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Todas as organizações devem relatar incidentes e atividades anômalas à </w:t>
      </w:r>
      <w:hyperlink r:id="rId15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CISA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e/ou ao FBI por meio do </w:t>
      </w:r>
      <w:hyperlink r:id="rId16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escritório local do FBI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ou do CyWatch 24/7 do FBI pelo telefone (855) 292-3937 ou pelo </w:t>
      </w:r>
      <w:hyperlink r:id="rId17">
        <w:r>
          <w:rPr>
            <w:color w:val="2B71AE"/>
            <w:spacing w:val="-2"/>
            <w:sz w:val="24"/>
            <w:u w:val="none"/>
            <w:i w:val="false"/>
            <w:smallCaps w:val="false"/>
            <w:strike w:val="false"/>
            <w:vertAlign w:val="baseline"/>
            <w:lang w:val="pt-BR"/>
            <w:rFonts/>
          </w:rPr>
          <w:t xml:space="preserve">site</w:t>
        </w:r>
        <w:r>
          <w:rPr>
            <w:color w:val="333333"/>
            <w:spacing w:val="-2"/>
            <w:sz w:val="24"/>
            <w:u w:val="none"/>
            <w:i w:val="0"/>
            <w:smallCaps w:val="0"/>
            <w:strike w:val="0"/>
            <w:vertAlign w:val="baseline"/>
            <w:lang w:val="pt-BR"/>
            <w:rFonts/>
          </w:rPr>
          <w:t>CyWatch@fbi.gov.</w:t>
        </w:r>
      </w:hyperlink>
    </w:p>
    <w:p>
      <w:pPr>
        <w:pStyle w:val="Heading1"/>
        <w:spacing w:before="144"/>
        <w:rPr>
          <w:u w:val="none"/>
          <w:lang w:val="pt-BR"/>
          <w:rFonts/>
        </w:rPr>
      </w:pPr>
      <w:bookmarkStart w:name="Additional Resources" w:id="9"/>
      <w:bookmarkEnd w:id="9"/>
      <w:r>
        <w:rPr>
          <w:color w:val="333333"/>
          <w:spacing w:val="-3"/>
          <w:w w:val="97"/>
          <w:u w:val="single" w:color="333333"/>
          <w:i w:val="false"/>
          <w:smallCaps w:val="false"/>
          <w:strike w:val="false"/>
          <w:vertAlign w:val="baseline"/>
          <w:lang w:val="pt-BR"/>
          <w:rFonts/>
        </w:rPr>
        <w:t xml:space="preserve">Recursos adicionais</w:t>
      </w:r>
    </w:p>
    <w:p>
      <w:pPr>
        <w:pStyle w:val="BodyText"/>
        <w:spacing w:before="54"/>
        <w:rPr>
          <w:b/>
          <w:lang w:val="pt-BR"/>
          <w:rFonts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0" w:after="0"/>
        <w:ind w:left="830" w:right="829" w:hanging="360"/>
        <w:jc w:val="left"/>
        <w:rPr>
          <w:rFonts w:ascii="Symbol" w:hAnsi="Symbol"/>
          <w:sz w:val="24"/>
          <w:lang w:val="pt-BR"/>
        </w:rPr>
      </w:pPr>
      <w:hyperlink r:id="rId18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Preparing for and Mitigating Foreign Influence Operations Targeting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8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Critical Infrastructure</w:t>
        </w:r>
      </w:hyperlink>
      <w:r>
        <w:rPr>
          <w:b w:val="true"/>
          <w:color w:val="333333"/>
          <w:spacing w:val="-2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(fevereiro de 2022)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3" w:after="0"/>
        <w:ind w:left="830" w:right="707" w:hanging="360"/>
        <w:jc w:val="left"/>
        <w:rPr>
          <w:rFonts w:ascii="Symbol" w:hAnsi="Symbol"/>
          <w:sz w:val="24"/>
          <w:lang w:val="pt-BR"/>
        </w:rPr>
      </w:pPr>
      <w:hyperlink r:id="rId19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Implemente medidas de segurança cibernética agora para se proteger contra possíveis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9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3"/>
            <w:lang w:val="pt-BR"/>
            <w:rFonts/>
          </w:rPr>
          <w:t xml:space="preserve">ameaças críticas</w:t>
        </w:r>
      </w:hyperlink>
      <w:r>
        <w:rPr>
          <w:b w:val="true"/>
          <w:color w:val="333333"/>
          <w:spacing w:val="-4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(janeiro de 2022)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2" w:after="0"/>
        <w:ind w:left="830" w:right="971" w:hanging="360"/>
        <w:jc w:val="left"/>
        <w:rPr>
          <w:rFonts w:ascii="Symbol" w:hAnsi="Symbol"/>
          <w:sz w:val="24"/>
          <w:lang w:val="pt-BR"/>
        </w:rPr>
      </w:pPr>
      <w:hyperlink r:id="rId13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Alerta (AA22-011A) Entendendo e mitigando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3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as ameaças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cibernéticas patrocinadas pelo Estado russo   à infraestrutura crítica dos EUA</w:t>
      </w:r>
      <w:r>
        <w:rPr>
          <w:b w:val="true"/>
          <w:color w:val="333333"/>
          <w:spacing w:val="-3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(janeiro de 2022)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2" w:after="0"/>
        <w:ind w:left="830" w:right="655" w:hanging="360"/>
        <w:jc w:val="left"/>
        <w:rPr>
          <w:rFonts w:ascii="Symbol" w:hAnsi="Symbol"/>
          <w:sz w:val="24"/>
          <w:lang w:val="pt-BR"/>
        </w:rPr>
      </w:pPr>
      <w:hyperlink r:id="rId20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Preparando-se e mitigando possíveis ameaças cibernéticas</w:t>
        </w:r>
      </w:hyperlink>
      <w:r>
        <w:rPr>
          <w:b w:val="true"/>
          <w:color w:val="333333"/>
          <w:w w:val="85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(pdf) (dezembro</w:t>
      </w:r>
      <w:r>
        <w:rPr>
          <w:b w:val="true"/>
          <w:color w:val="333333"/>
          <w:w w:val="95"/>
          <w:sz w:val="24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 de 2021)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2" w:after="0"/>
        <w:ind w:left="830" w:right="234" w:hanging="360"/>
        <w:jc w:val="left"/>
        <w:rPr>
          <w:rFonts w:ascii="Symbol" w:hAnsi="Symbol"/>
          <w:sz w:val="24"/>
          <w:lang w:val="pt-BR"/>
        </w:rPr>
      </w:pPr>
      <w:hyperlink r:id="rId21">
        <w:r>
          <w:rPr>
            <w:b w:val="true"/>
            <w:color w:val="2B71AE"/>
            <w:w w:val="91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Lembrete para que a infraestrutura crítica permaneça vigilante contra ameaças durante feriados e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21">
        <w:r>
          <w:rPr>
            <w:b w:val="true"/>
            <w:color w:val="2B71AE"/>
            <w:spacing w:val="-8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fins de semana</w:t>
        </w:r>
      </w:hyperlink>
      <w:r>
        <w:rPr>
          <w:b w:val="true"/>
          <w:color w:val="333333"/>
          <w:spacing w:val="-11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(novembro de 2021)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2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Kit de ferramentas de desinformação sobre a COVID-19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3" w:after="0"/>
        <w:ind w:left="830" w:right="112" w:hanging="360"/>
        <w:jc w:val="left"/>
        <w:rPr>
          <w:rFonts w:ascii="Symbol" w:hAnsi="Symbol"/>
          <w:sz w:val="24"/>
          <w:lang w:val="pt-BR"/>
        </w:rPr>
      </w:pPr>
      <w:hyperlink r:id="rId23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Guia de planejamento e resposta a incidentes de desinformação, desinformação e malinformação (MDM) para</w:t>
        </w:r>
      </w:hyperlink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23">
        <w:r>
          <w:rPr>
            <w:b w:val="true"/>
            <w:color w:val="2B71AE"/>
            <w:spacing w:val="-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autoridades</w:t>
        </w:r>
      </w:hyperlink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eleitorais  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4">
        <w:r>
          <w:rPr>
            <w:b w:val="true"/>
            <w:color w:val="2B71AE"/>
            <w:w w:val="95"/>
            <w:sz w:val="24"/>
            <w:u w:val="single" w:color="2B71AE"/>
            <w:i w:val="false"/>
            <w:smallCaps w:val="false"/>
            <w:strike w:val="false"/>
            <w:vertAlign w:val="baseline"/>
            <w:spacing w:val="-1"/>
            <w:lang w:val="pt-BR"/>
            <w:rFonts/>
          </w:rPr>
          <w:t xml:space="preserve">Guia de inicialização da página de controle de rumores do MDM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5">
        <w:r>
          <w:rPr>
            <w:b w:val="true"/>
            <w:color w:val="2B71AE"/>
            <w:spacing w:val="-4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Visão geral e avisos sobre ameaças cibernéticas na Rússia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6"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Ferramentas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 e serviços</w:t>
        </w:r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gratuitos de segurança cibernética para os setores público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5"/>
            <w:lang w:val="pt-BR"/>
            <w:rFonts/>
          </w:rPr>
          <w:t xml:space="preserve">e privado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7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Guerra ao abacaxi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bookmarkStart w:name=" External Resources" w:id="10"/>
      <w:bookmarkEnd w:id="10"/>
      <w:r>
        <w:rPr>
          <w:b w:val="true"/>
          <w:color w:val="333333"/>
          <w:w w:val="93"/>
          <w:sz w:val="24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Recursos externos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8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Kit de ferramentas de combate à desinformação RESIST 2 - GCS (civilservice.gov.uk)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9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Agência Sueca de Contingências Civis (MSB) | Combate à desinformação</w:t>
        </w:r>
      </w:hyperlink>
    </w:p>
    <w:sectPr>
      <w:pgSz w:w="12240" w:h="15840"/>
      <w:pgMar w:top="78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spacing w:val="0"/>
        <w:w w:val="100"/>
        <w:lang w:val="pt-BR" w:eastAsia="en-US" w:bidi="ar-SA"/>
      </w:rPr>
    </w:lvl>
    <w:lvl w:ilvl="1">
      <w:start w:val="0"/>
      <w:numFmt w:val="bullet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551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542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533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524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515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50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497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ahoma" w:hAnsi="Tahoma" w:eastAsia="Tahoma" w:cs="Tahoma"/>
      <w:b/>
      <w:bCs/>
      <w:sz w:val="28"/>
      <w:szCs w:val="28"/>
      <w:u w:val="single" w:color="000000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830" w:hanging="360"/>
    </w:pPr>
    <w:rPr>
      <w:rFonts w:ascii="Tahoma" w:hAnsi="Tahoma" w:eastAsia="Tahoma" w:cs="Tahoma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cisa.gov/shields-up" TargetMode="External"/><Relationship Id="rId8" Type="http://schemas.openxmlformats.org/officeDocument/2006/relationships/hyperlink" Target="https://www.cisa.gov/known-exploited-vulnerabilities-catalog" TargetMode="External"/><Relationship Id="rId9" Type="http://schemas.openxmlformats.org/officeDocument/2006/relationships/hyperlink" Target="https://www.cisa.gov/uscert/ncas/analysis-reports/ar21-013a" TargetMode="External"/><Relationship Id="rId10" Type="http://schemas.openxmlformats.org/officeDocument/2006/relationships/hyperlink" Target="https://www.cisa.gov/cyber-hygiene-services" TargetMode="External"/><Relationship Id="rId11" Type="http://schemas.openxmlformats.org/officeDocument/2006/relationships/hyperlink" Target="https://support.workiva.com/hc/en-us/articles/360035646392-View-Organization-Activities" TargetMode="External"/><Relationship Id="rId12" Type="http://schemas.openxmlformats.org/officeDocument/2006/relationships/hyperlink" Target="https://support.workiva.com/hc/en-us/articles/360035639692-Prepare-for-the-Unexpected" TargetMode="External"/><Relationship Id="rId13" Type="http://schemas.openxmlformats.org/officeDocument/2006/relationships/hyperlink" Target="https://www.cisa.gov/uscert/ncas/alerts/aa22-011a" TargetMode="External"/><Relationship Id="rId14" Type="http://schemas.openxmlformats.org/officeDocument/2006/relationships/hyperlink" Target="https://www.cisa.gov/stopransomware" TargetMode="External"/><Relationship Id="rId15" Type="http://schemas.openxmlformats.org/officeDocument/2006/relationships/hyperlink" Target="https://www.cisa.gov/uscert/report" TargetMode="External"/><Relationship Id="rId16" Type="http://schemas.openxmlformats.org/officeDocument/2006/relationships/hyperlink" Target="https://www.fbi.gov/contact-us/field-offices" TargetMode="External"/><Relationship Id="rId17" Type="http://schemas.openxmlformats.org/officeDocument/2006/relationships/hyperlink" Target="mailto:CyWatch@fbi.gov" TargetMode="External"/><Relationship Id="rId18" Type="http://schemas.openxmlformats.org/officeDocument/2006/relationships/hyperlink" Target="https://www.cisa.gov/sites/default/files/publications/cisa_insight_mitigating_foreign_influence_508.pdf" TargetMode="External"/><Relationship Id="rId19" Type="http://schemas.openxmlformats.org/officeDocument/2006/relationships/hyperlink" Target="https://www.cisa.gov/sites/default/files/publications/CISA_Insights-Implement_Cybersecurity_Measures_Now_to_Protect_Against_Critical_Threats_508C.pdf" TargetMode="External"/><Relationship Id="rId20" Type="http://schemas.openxmlformats.org/officeDocument/2006/relationships/hyperlink" Target="https://www.cisa.gov/sites/default/files/publications/CISA_INSIGHTS-Preparing_For_and_Mitigating_Potential_Cyber_Threats-508C.pdf" TargetMode="External"/><Relationship Id="rId21" Type="http://schemas.openxmlformats.org/officeDocument/2006/relationships/hyperlink" Target="https://www.cisa.gov/uscert/ncas/current-activity/2021/11/22/reminder-critical-infrastructure-stay-vigilant-against-threats" TargetMode="External"/><Relationship Id="rId22" Type="http://schemas.openxmlformats.org/officeDocument/2006/relationships/hyperlink" Target="https://www.cisa.gov/publication/covid-19-disinformation-toolkit" TargetMode="External"/><Relationship Id="rId23" Type="http://schemas.openxmlformats.org/officeDocument/2006/relationships/hyperlink" Target="https://www.cisa.gov/sites/default/files/publications/mdm-incident-response-guide_508.pdf" TargetMode="External"/><Relationship Id="rId24" Type="http://schemas.openxmlformats.org/officeDocument/2006/relationships/hyperlink" Target="https://www.cisa.gov/sites/default/files/publications/rumor-control-startup-guide_508.pdf" TargetMode="External"/><Relationship Id="rId25" Type="http://schemas.openxmlformats.org/officeDocument/2006/relationships/hyperlink" Target="https://www.cisa.gov/uscert/russia" TargetMode="External"/><Relationship Id="rId26" Type="http://schemas.openxmlformats.org/officeDocument/2006/relationships/hyperlink" Target="https://www.cisa.gov/free-cybersecurity-tools-and-services" TargetMode="External"/><Relationship Id="rId27" Type="http://schemas.openxmlformats.org/officeDocument/2006/relationships/hyperlink" Target="https://www.cisa.gov/publication/war-pineapple" TargetMode="External"/><Relationship Id="rId28" Type="http://schemas.openxmlformats.org/officeDocument/2006/relationships/hyperlink" Target="https://gcs.civilservice.gov.uk/publications/resist-2-counter-disinformation-toolkit/" TargetMode="External"/><Relationship Id="rId29" Type="http://schemas.openxmlformats.org/officeDocument/2006/relationships/hyperlink" Target="https://counteringdisinformation.org/taxonomy/term/822" TargetMode="External"/><Relationship Id="rId3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Relações com investidores Comunicados à imprensa</dc:title>
  <dcterms:created xsi:type="dcterms:W3CDTF">2024-12-10T16:46:34Z</dcterms:created>
  <dcterms:modified xsi:type="dcterms:W3CDTF">2024-12-10T16:46:34Z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2024-12-10T00:00:00Z</vt:filetime>
  </property>
</Properties>
</file>