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tabs>
          <w:tab w:pos="6590" w:val="left" w:leader="none"/>
        </w:tabs>
        <w:spacing w:line="240" w:lineRule="auto"/>
        <w:ind w:left="110" w:right="0" w:firstLine="0"/>
        <w:rPr>
          <w:rFonts w:ascii="Times New Roman" w:hAnsi="Times New Roman"/>
          <w:sz w:val="20"/>
          <w:lang w:val="pt-BR"/>
        </w:rPr>
      </w:pPr>
      <w:r>
        <w:rPr>
          <w:rFonts w:ascii="Times New Roman" w:hAnsi="Times New Roman"/>
          <w:sz w:val="20"/>
          <w:i w:val="0"/>
          <w:smallCaps w:val="0"/>
          <w:strike w:val="0"/>
          <w:color w:val="000000"/>
          <w:u w:val="none"/>
          <w:vertAlign w:val="baseline"/>
          <w:lang w:val="pt-BR"/>
        </w:rPr>
        <mc:AlternateContent>
          <mc:Choice Requires="wps">
            <w:drawing>
              <wp:inline distT="0" distB="0" distL="0" distR="0">
                <wp:extent cx="2033905" cy="549275"/>
                <wp:effectExtent l="0" t="0" r="0" b="3175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2033905" cy="549275"/>
                          <a:chExt cx="2033905" cy="54927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1994916" y="542925"/>
                            <a:ext cx="3873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35" h="6350">
                                <a:moveTo>
                                  <a:pt x="3841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38417" y="6350"/>
                                </a:lnTo>
                                <a:lnTo>
                                  <a:pt x="384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3645" cy="5264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160.15pt;height:43.25pt;mso-position-horizontal-relative:char;mso-position-vertical-relative:line" id="docshapegroup1" coordorigin="0,0" coordsize="3203,865">
                <v:rect style="position:absolute;left:3141;top:855;width:61;height:10" id="docshape2" filled="true" fillcolor="#000000" stroked="false">
                  <v:fill type="solid"/>
                </v:rect>
                <v:shape style="position:absolute;left:0;top:0;width:3140;height:829" type="#_x0000_t75" id="docshape3" stroked="false">
                  <v:imagedata r:id="rId5" o:title=""/>
                </v:shape>
              </v:group>
            </w:pict>
          </mc:Fallback>
        </mc:AlternateContent>
      </w:r>
      <w:r>
        <w:rPr>
          <w:rFonts w:ascii="Times New Roman" w:hAnsi="Times New Roman"/>
          <w:sz w:val="20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position w:val="4"/>
          <w:sz w:val="20"/>
          <w:i w:val="0"/>
          <w:smallCaps w:val="0"/>
          <w:strike w:val="0"/>
          <w:color w:val="000000"/>
          <w:u w:val="none"/>
          <w:vertAlign w:val="baseline"/>
          <w:lang w:val="pt-BR"/>
        </w:rPr>
        <w:drawing>
          <wp:inline distT="0" distB="0" distL="0" distR="0">
            <wp:extent cx="1871309" cy="466725"/>
            <wp:effectExtent l="0" t="0" r="0" b="0"/>
            <wp:docPr id="4" name="Image 4" descr="Shields Up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 descr="Shields Up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309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275"/>
        <w:ind w:left="110"/>
      </w:pPr>
      <w:r>
        <w:rPr>
          <w:i w:val="false"/>
          <w:smallCaps w:val="false"/>
          <w:strike w:val="false"/>
          <w:color w:val="000000"/>
          <w:u w:val="none"/>
          <w:vertAlign w:val="baseline"/>
          <w:spacing w:val="-4"/>
          <w:lang w:val="pt-BR"/>
          <w:rFonts/>
        </w:rPr>
        <w:t xml:space="preserve">2 de março de 2022</w:t>
      </w:r>
    </w:p>
    <w:p>
      <w:pPr>
        <w:pStyle w:val="BodyText"/>
        <w:spacing w:before="115"/>
      </w:pPr>
    </w:p>
    <w:p>
      <w:pPr>
        <w:pStyle w:val="BodyText"/>
        <w:spacing w:line="287" w:lineRule="exact" w:before="1"/>
        <w:ind w:left="110"/>
      </w:pP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Resposta da Workiva ao ataque da Rússia à Ucrânia: Tempos voláteis exigem maior atenção</w:t>
      </w:r>
    </w:p>
    <w:p>
      <w:pPr>
        <w:pStyle w:val="BodyText"/>
        <w:spacing w:line="287" w:lineRule="exact"/>
        <w:ind w:left="110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preparação para a segurança cibernética.</w:t>
      </w:r>
    </w:p>
    <w:p>
      <w:pPr>
        <w:pStyle w:val="BodyText"/>
        <w:spacing w:before="3"/>
      </w:pPr>
    </w:p>
    <w:p>
      <w:pPr>
        <w:pStyle w:val="BodyText"/>
        <w:spacing w:line="237" w:lineRule="auto"/>
        <w:ind w:left="110"/>
      </w:pP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A Workiva segue à risca as diretrizes publicadas pela </w:t>
      </w:r>
      <w:hyperlink r:id="rId7">
        <w:r>
          <w:rPr>
            <w:color w:val="1154CC"/>
            <w:u w:val="single" w:color="1154CC"/>
            <w:i w:val="false"/>
            <w:smallCaps w:val="false"/>
            <w:strike w:val="false"/>
            <w:vertAlign w:val="baseline"/>
            <w:spacing w:val="-5"/>
            <w:lang w:val="pt-BR"/>
            <w:rFonts/>
          </w:rPr>
          <w:t xml:space="preserve">iniciativa</w:t>
        </w:r>
        <w:r>
          <w:rPr>
            <w:u w:val="none"/>
            <w:i w:val="0"/>
            <w:smallCaps w:val="0"/>
            <w:strike w:val="0"/>
            <w:color w:val="000000"/>
            <w:vertAlign w:val="baseline"/>
            <w:lang w:val="pt-BR"/>
            <w:rFonts/>
          </w:rPr>
          <w:t>SHIELDS UP</w:t>
        </w:r>
        <w:r>
          <w:rPr>
            <w:color w:val="1154CC"/>
            <w:u w:val="single" w:color="1154CC"/>
            <w:i w:val="false"/>
            <w:smallCaps w:val="false"/>
            <w:strike w:val="false"/>
            <w:vertAlign w:val="baseline"/>
            <w:spacing w:val="-5"/>
            <w:lang w:val="pt-BR"/>
            <w:rFonts/>
          </w:rPr>
          <w:t xml:space="preserve">da U.S. Cybersecurity &amp; Infrastructure Security Agency (CISO)</w:t>
        </w:r>
        <w:r>
          <w:rPr>
            <w:color w:val="1154CC"/>
            <w:u w:val="single" w:color="1154CC"/>
            <w:i w:val="false"/>
            <w:smallCaps w:val="false"/>
            <w:strike w:val="false"/>
            <w:vertAlign w:val="baseline"/>
            <w:spacing w:val="-5"/>
            <w:lang w:val="pt-BR"/>
            <w:rFonts/>
          </w:rPr>
          <w:t xml:space="preserve">e se comprometeu a compartilhar quaisquer incidentes ou atividades anômalas com as autoridades policiais competentes na(s) jurisdição(ões) onde a atividade ocorre.</w:t>
        </w:r>
      </w:hyperlink>
    </w:p>
    <w:p>
      <w:pPr>
        <w:pStyle w:val="BodyText"/>
      </w:pPr>
    </w:p>
    <w:p>
      <w:pPr>
        <w:pStyle w:val="BodyText"/>
        <w:spacing w:before="6"/>
      </w:pPr>
    </w:p>
    <w:p>
      <w:pPr>
        <w:pStyle w:val="Heading1"/>
        <w:spacing w:before="1"/>
        <w:rPr>
          <w:u w:val="none"/>
          <w:lang w:val="pt-BR"/>
          <w:rFonts/>
        </w:rPr>
      </w:pPr>
      <w:bookmarkStart w:name="Reduce the likelihood of a damaging cybe" w:id="1"/>
      <w:bookmarkEnd w:id="1"/>
      <w:r>
        <w:rPr>
          <w:color w:val="333333"/>
          <w:w w:val="92"/>
          <w:u w:val="single" w:color="333333"/>
          <w:i w:val="false"/>
          <w:smallCaps w:val="false"/>
          <w:strike w:val="false"/>
          <w:vertAlign w:val="baseline"/>
          <w:spacing w:val="3"/>
          <w:lang w:val="pt-BR"/>
          <w:rFonts/>
        </w:rPr>
        <w:t xml:space="preserve">Reduzir a probabilidade de uma intrusão cibernética prejudicial</w:t>
      </w:r>
    </w:p>
    <w:p>
      <w:pPr>
        <w:pStyle w:val="BodyText"/>
        <w:rPr>
          <w:b/>
          <w:lang w:val="pt-BR"/>
          <w:rFonts/>
        </w:rPr>
      </w:pPr>
    </w:p>
    <w:p>
      <w:pPr>
        <w:pStyle w:val="BodyText"/>
        <w:spacing w:before="27"/>
        <w:rPr>
          <w:b/>
          <w:lang w:val="pt-BR"/>
          <w:rFonts/>
        </w:rPr>
      </w:pPr>
    </w:p>
    <w:p>
      <w:pPr>
        <w:spacing w:before="0"/>
        <w:ind w:left="110" w:right="0" w:firstLine="0"/>
        <w:jc w:val="left"/>
        <w:rPr>
          <w:b/>
          <w:sz w:val="24"/>
          <w:lang w:val="pt-BR"/>
          <w:rFonts/>
        </w:rPr>
      </w:pPr>
      <w:r>
        <w:rPr>
          <w:b w:val="true"/>
          <w:color w:val="333333"/>
          <w:w w:val="92"/>
          <w:sz w:val="24"/>
          <w:i w:val="false"/>
          <w:smallCaps w:val="false"/>
          <w:strike w:val="false"/>
          <w:u w:val="none"/>
          <w:vertAlign w:val="baseline"/>
          <w:spacing w:val="3"/>
          <w:lang w:val="pt-BR"/>
          <w:rFonts/>
        </w:rPr>
        <w:t xml:space="preserve">Valide que todos os acessos remotos à rede da organização e os acessos privilegiados ou administrativos</w:t>
      </w:r>
    </w:p>
    <w:p>
      <w:pPr>
        <w:spacing w:before="1"/>
        <w:ind w:left="110" w:right="0" w:firstLine="0"/>
        <w:jc w:val="left"/>
        <w:rPr>
          <w:b/>
          <w:sz w:val="24"/>
          <w:lang w:val="pt-BR"/>
          <w:rFonts/>
        </w:rPr>
      </w:pPr>
      <w:r>
        <w:rPr>
          <w:b w:val="true"/>
          <w:color w:val="333333"/>
          <w:w w:val="91"/>
          <w:sz w:val="24"/>
          <w:i w:val="false"/>
          <w:smallCaps w:val="false"/>
          <w:strike w:val="false"/>
          <w:u w:val="none"/>
          <w:vertAlign w:val="baseline"/>
          <w:spacing w:val="6"/>
          <w:lang w:val="pt-BR"/>
          <w:rFonts/>
        </w:rPr>
        <w:t xml:space="preserve">o acesso requer autenticação multifatorial.</w:t>
      </w:r>
    </w:p>
    <w:p>
      <w:pPr>
        <w:pStyle w:val="ListParagraph"/>
        <w:numPr>
          <w:ilvl w:val="0"/>
          <w:numId w:val="1"/>
        </w:numPr>
        <w:tabs>
          <w:tab w:pos="830" w:val="left" w:leader="none"/>
        </w:tabs>
        <w:spacing w:line="242" w:lineRule="auto" w:before="159" w:after="0"/>
        <w:ind w:left="830" w:right="910" w:hanging="360"/>
        <w:jc w:val="left"/>
        <w:rPr>
          <w:rFonts w:ascii="Symbol" w:hAnsi="Symbol"/>
          <w:color w:val="333333"/>
          <w:sz w:val="24"/>
          <w:lang w:val="pt-BR"/>
        </w:rPr>
      </w:pP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 Workiva exige que todos os constituintes da Workiva usem o Single Sign On com Multi Factor Authentication.</w:t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 A Workiva recomenda que nossos clientes implementem o Single Sign On.</w:t>
      </w:r>
    </w:p>
    <w:p>
      <w:pPr>
        <w:pStyle w:val="BodyText"/>
      </w:pPr>
    </w:p>
    <w:p>
      <w:pPr>
        <w:pStyle w:val="BodyText"/>
        <w:spacing w:before="18"/>
      </w:pPr>
    </w:p>
    <w:p>
      <w:pPr>
        <w:spacing w:before="0"/>
        <w:ind w:left="110" w:right="300" w:firstLine="0"/>
        <w:jc w:val="left"/>
        <w:rPr>
          <w:b/>
          <w:sz w:val="24"/>
          <w:lang w:val="pt-BR"/>
          <w:rFonts/>
        </w:rPr>
      </w:pPr>
      <w:r>
        <w:rPr>
          <w:b w:val="true"/>
          <w:color w:val="333333"/>
          <w:w w:val="93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Assegure-se de que o software esteja atualizado, priorizando as atualizações que tratam das</w:t>
      </w:r>
      <w:hyperlink r:id="rId8">
        <w:r>
          <w:rPr>
            <w:b w:val="true"/>
            <w:color w:val="2B71AE"/>
            <w:w w:val="90"/>
            <w:sz w:val="24"/>
            <w:u w:val="single" w:color="2B71AE"/>
            <w:i w:val="false"/>
            <w:smallCaps w:val="false"/>
            <w:strike w:val="false"/>
            <w:vertAlign w:val="baseline"/>
            <w:lang w:val="pt-BR"/>
            <w:rFonts/>
          </w:rPr>
          <w:t xml:space="preserve">vulnerabilidades</w:t>
        </w:r>
      </w:hyperlink>
      <w:hyperlink r:id="rId8">
        <w:r>
          <w:rPr>
            <w:b w:val="true"/>
            <w:color w:val="2B71AE"/>
            <w:w w:val="85"/>
            <w:sz w:val="24"/>
            <w:u w:val="single" w:color="2B71AE"/>
            <w:i w:val="false"/>
            <w:smallCaps w:val="false"/>
            <w:strike w:val="false"/>
            <w:vertAlign w:val="baseline"/>
            <w:lang w:val="pt-BR"/>
            <w:rFonts/>
          </w:rPr>
          <w:t xml:space="preserve">exploradas conhecidas </w:t>
        </w:r>
      </w:hyperlink>
      <w:r>
        <w:rPr>
          <w:b/>
          <w:color w:val="2B71AE"/>
          <w:spacing w:val="80"/>
          <w:sz w:val="24"/>
          <w:u w:val="none"/>
          <w:i w:val="0"/>
          <w:smallCaps w:val="0"/>
          <w:strike w:val="0"/>
          <w:vertAlign w:val="baseline"/>
          <w:lang w:val="pt-BR"/>
          <w:rFonts/>
        </w:rPr>
        <w:t xml:space="preserve"> </w:t>
      </w:r>
      <w:r>
        <w:rPr>
          <w:b w:val="true"/>
          <w:color w:val="333333"/>
          <w:w w:val="93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 identificadas pela CISA</w:t>
      </w:r>
      <w:r>
        <w:rPr>
          <w:b/>
          <w:color w:val="333333"/>
          <w:w w:val="90"/>
          <w:sz w:val="24"/>
          <w:u w:val="none"/>
          <w:i w:val="0"/>
          <w:smallCaps w:val="0"/>
          <w:strike w:val="0"/>
          <w:vertAlign w:val="baseline"/>
          <w:lang w:val="pt-BR"/>
          <w:rFonts/>
        </w:rPr>
        <w:t>.</w:t>
      </w:r>
    </w:p>
    <w:p>
      <w:pPr>
        <w:pStyle w:val="ListParagraph"/>
        <w:numPr>
          <w:ilvl w:val="0"/>
          <w:numId w:val="1"/>
        </w:numPr>
        <w:tabs>
          <w:tab w:pos="830" w:val="left" w:leader="none"/>
        </w:tabs>
        <w:spacing w:line="240" w:lineRule="auto" w:before="160" w:after="0"/>
        <w:ind w:left="830" w:right="149" w:hanging="360"/>
        <w:jc w:val="left"/>
        <w:rPr>
          <w:rFonts w:ascii="Symbol" w:hAnsi="Symbol"/>
          <w:color w:val="333333"/>
          <w:sz w:val="24"/>
          <w:lang w:val="pt-BR"/>
        </w:rPr>
      </w:pP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A Workiva utiliza mecanismos automatizados de aplicação de patches para garantir que o software do host e do contêiner seja corrigido e atualizado.</w:t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 </w:t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As vulnerabilidades identificadas em bibliotecas de terceiros incluídas em nosso aplicativo são priorizadas por gravidade e corrigidas como parte de nosso SDLC.</w:t>
      </w:r>
    </w:p>
    <w:p>
      <w:pPr>
        <w:pStyle w:val="BodyText"/>
      </w:pPr>
    </w:p>
    <w:p>
      <w:pPr>
        <w:pStyle w:val="BodyText"/>
        <w:spacing w:before="23"/>
      </w:pPr>
    </w:p>
    <w:p>
      <w:pPr>
        <w:spacing w:before="0"/>
        <w:ind w:left="110" w:right="0" w:firstLine="0"/>
        <w:jc w:val="left"/>
        <w:rPr>
          <w:b/>
          <w:sz w:val="24"/>
          <w:lang w:val="pt-BR"/>
          <w:rFonts/>
        </w:rPr>
      </w:pPr>
      <w:r>
        <w:rPr>
          <w:b w:val="true"/>
          <w:color w:val="333333"/>
          <w:w w:val="92"/>
          <w:sz w:val="24"/>
          <w:i w:val="false"/>
          <w:smallCaps w:val="false"/>
          <w:strike w:val="false"/>
          <w:u w:val="none"/>
          <w:vertAlign w:val="baseline"/>
          <w:spacing w:val="2"/>
          <w:lang w:val="pt-BR"/>
          <w:rFonts/>
        </w:rPr>
        <w:t xml:space="preserve">Confirme se a equipe de TI da organização desativou todas as portas e protocolos que não são</w:t>
      </w:r>
    </w:p>
    <w:p>
      <w:pPr>
        <w:spacing w:before="1"/>
        <w:ind w:left="110" w:right="0" w:firstLine="0"/>
        <w:jc w:val="left"/>
        <w:rPr>
          <w:b/>
          <w:sz w:val="24"/>
          <w:lang w:val="pt-BR"/>
          <w:rFonts/>
        </w:rPr>
      </w:pPr>
      <w:r>
        <w:rPr>
          <w:b w:val="true"/>
          <w:color w:val="333333"/>
          <w:w w:val="91"/>
          <w:sz w:val="24"/>
          <w:i w:val="false"/>
          <w:smallCaps w:val="false"/>
          <w:strike w:val="false"/>
          <w:u w:val="none"/>
          <w:vertAlign w:val="baseline"/>
          <w:spacing w:val="1"/>
          <w:lang w:val="pt-BR"/>
          <w:rFonts/>
        </w:rPr>
        <w:t xml:space="preserve">essenciais para fins comerciais.</w:t>
      </w:r>
    </w:p>
    <w:p>
      <w:pPr>
        <w:pStyle w:val="ListParagraph"/>
        <w:numPr>
          <w:ilvl w:val="0"/>
          <w:numId w:val="1"/>
        </w:numPr>
        <w:tabs>
          <w:tab w:pos="830" w:val="left" w:leader="none"/>
        </w:tabs>
        <w:spacing w:line="242" w:lineRule="auto" w:before="154" w:after="0"/>
        <w:ind w:left="830" w:right="128" w:hanging="360"/>
        <w:jc w:val="left"/>
        <w:rPr>
          <w:rFonts w:ascii="Symbol" w:hAnsi="Symbol"/>
          <w:sz w:val="24"/>
          <w:lang w:val="pt-BR"/>
        </w:rPr>
      </w:pP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A Workiva estabeleceu e documentou nossas definições de configuração de acordo com as linhas de base do Center for Internet Security (CIS) e as listas de verificação compatíveis com o SCAP.</w:t>
      </w:r>
    </w:p>
    <w:p>
      <w:pPr>
        <w:pStyle w:val="BodyText"/>
        <w:spacing w:before="277"/>
      </w:pPr>
    </w:p>
    <w:p>
      <w:pPr>
        <w:spacing w:before="0"/>
        <w:ind w:left="110" w:right="300" w:firstLine="0"/>
        <w:jc w:val="left"/>
        <w:rPr>
          <w:b/>
          <w:sz w:val="24"/>
          <w:lang w:val="pt-BR"/>
          <w:rFonts/>
        </w:rPr>
      </w:pPr>
      <w:r>
        <w:rPr>
          <w:b w:val="true"/>
          <w:color w:val="333333"/>
          <w:w w:val="88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Se a organização estiver usando serviços em nuvem, certifique-se de que o pessoal de TI tenha analisado e implementado </w:t>
      </w:r>
      <w:hyperlink r:id="rId9">
        <w:r>
          <w:rPr>
            <w:b w:val="true"/>
            <w:color w:val="2B71AE"/>
            <w:w w:val="90"/>
            <w:sz w:val="24"/>
            <w:u w:val="single" w:color="2B71AE"/>
            <w:i w:val="false"/>
            <w:smallCaps w:val="false"/>
            <w:strike w:val="false"/>
            <w:vertAlign w:val="baseline"/>
            <w:spacing w:val="-1"/>
            <w:lang w:val="pt-BR"/>
            <w:rFonts/>
          </w:rPr>
          <w:t xml:space="preserve">os fortes controles descritos na orientação da CISA</w:t>
        </w:r>
        <w:r>
          <w:rPr>
            <w:b/>
            <w:color w:val="333333"/>
            <w:w w:val="90"/>
            <w:sz w:val="24"/>
            <w:u w:val="none"/>
            <w:i w:val="0"/>
            <w:smallCaps w:val="0"/>
            <w:strike w:val="0"/>
            <w:vertAlign w:val="baseline"/>
            <w:lang w:val="pt-BR"/>
            <w:rFonts/>
          </w:rPr>
          <w:t>.</w:t>
        </w:r>
      </w:hyperlink>
    </w:p>
    <w:p>
      <w:pPr>
        <w:pStyle w:val="ListParagraph"/>
        <w:numPr>
          <w:ilvl w:val="0"/>
          <w:numId w:val="1"/>
        </w:numPr>
        <w:tabs>
          <w:tab w:pos="830" w:val="left" w:leader="none"/>
        </w:tabs>
        <w:spacing w:line="292" w:lineRule="exact" w:before="160" w:after="0"/>
        <w:ind w:left="830" w:right="0" w:hanging="360"/>
        <w:jc w:val="left"/>
        <w:rPr>
          <w:rFonts w:ascii="Symbol" w:hAnsi="Symbol"/>
          <w:sz w:val="24"/>
          <w:lang w:val="pt-BR"/>
        </w:rPr>
      </w:pP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1"/>
          <w:lang w:val="pt-BR"/>
          <w:rFonts/>
        </w:rPr>
        <w:t xml:space="preserve">A Workiva obteve o FedRAMP Moderate e a ISO 27001:2013.</w:t>
      </w:r>
    </w:p>
    <w:p>
      <w:pPr>
        <w:pStyle w:val="ListParagraph"/>
        <w:numPr>
          <w:ilvl w:val="0"/>
          <w:numId w:val="1"/>
        </w:numPr>
        <w:tabs>
          <w:tab w:pos="830" w:val="left" w:leader="none"/>
        </w:tabs>
        <w:spacing w:line="240" w:lineRule="auto" w:before="0" w:after="0"/>
        <w:ind w:left="830" w:right="209" w:hanging="360"/>
        <w:jc w:val="left"/>
        <w:rPr>
          <w:rFonts w:ascii="Symbol" w:hAnsi="Symbol"/>
          <w:sz w:val="24"/>
          <w:lang w:val="pt-BR"/>
        </w:rPr>
      </w:pP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4"/>
          <w:lang w:val="pt-BR"/>
          <w:rFonts/>
        </w:rPr>
        <w:t xml:space="preserve">Todo o acesso à Workiva é baseado em privilégios mínimos e requer o uso de IDs exclusivos com adesão às nossas políticas de senha, incluindo a exigência de logon único e autenticação de dois fatores.</w:t>
      </w: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4"/>
          <w:lang w:val="pt-BR"/>
          <w:rFonts/>
        </w:rPr>
        <w:t xml:space="preserve"> </w:t>
      </w: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4"/>
          <w:lang w:val="pt-BR"/>
          <w:rFonts/>
        </w:rPr>
        <w:t xml:space="preserve">O acesso deve ser aprovado pelo gerente funcional e pelo sistema</w:t>
      </w:r>
    </w:p>
    <w:p>
      <w:pPr>
        <w:spacing w:after="0" w:line="240" w:lineRule="auto"/>
        <w:jc w:val="left"/>
        <w:rPr>
          <w:rFonts w:ascii="Symbol" w:hAnsi="Symbol"/>
          <w:sz w:val="24"/>
          <w:lang w:val="pt-BR"/>
        </w:rPr>
        <w:sectPr>
          <w:type w:val="continuous"/>
          <w:pgSz w:w="12240" w:h="15840"/>
          <w:pgMar w:top="1200" w:bottom="280" w:left="880" w:right="880"/>
        </w:sectPr>
      </w:pPr>
    </w:p>
    <w:p>
      <w:pPr>
        <w:pStyle w:val="BodyText"/>
        <w:spacing w:line="287" w:lineRule="exact" w:before="75"/>
        <w:ind w:left="830"/>
      </w:pP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proprietário, conforme gerenciado por meio de nosso sistema de tíquetes.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 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Todas as atividades dentro da rede da Workiva e</w:t>
      </w:r>
    </w:p>
    <w:p>
      <w:pPr>
        <w:pStyle w:val="BodyText"/>
        <w:spacing w:line="287" w:lineRule="exact"/>
        <w:ind w:left="830"/>
      </w:pPr>
      <w:r>
        <w:rPr>
          <w:i w:val="false"/>
          <w:smallCaps w:val="false"/>
          <w:strike w:val="false"/>
          <w:color w:val="000000"/>
          <w:u w:val="none"/>
          <w:vertAlign w:val="baseline"/>
          <w:spacing w:val="-7"/>
          <w:lang w:val="pt-BR"/>
          <w:rFonts/>
        </w:rPr>
        <w:t xml:space="preserve">são registrados em nossa ferramenta SIEM centralizada.</w:t>
      </w:r>
    </w:p>
    <w:p>
      <w:pPr>
        <w:pStyle w:val="ListParagraph"/>
        <w:numPr>
          <w:ilvl w:val="0"/>
          <w:numId w:val="1"/>
        </w:numPr>
        <w:tabs>
          <w:tab w:pos="830" w:val="left" w:leader="none"/>
        </w:tabs>
        <w:spacing w:line="240" w:lineRule="auto" w:before="0" w:after="0"/>
        <w:ind w:left="830" w:right="536" w:hanging="360"/>
        <w:jc w:val="left"/>
        <w:rPr>
          <w:rFonts w:ascii="Symbol" w:hAnsi="Symbol"/>
          <w:sz w:val="24"/>
          <w:lang w:val="pt-BR"/>
        </w:rPr>
      </w:pP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6"/>
          <w:lang w:val="pt-BR"/>
          <w:rFonts/>
        </w:rPr>
        <w:t xml:space="preserve">A Workiva utiliza filtragem de spam de e-mail e bloqueia qualquer encaminhamento automático de e-mails. Além disso, os dispositivos e servidores executam ferramentas antimalware.</w:t>
      </w: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6"/>
          <w:lang w:val="pt-BR"/>
          <w:rFonts/>
        </w:rPr>
        <w:t xml:space="preserve"> </w:t>
      </w: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6"/>
          <w:lang w:val="pt-BR"/>
          <w:rFonts/>
        </w:rPr>
        <w:t xml:space="preserve">Os funcionários passam por avaliações mensais de engenharia social.</w:t>
      </w:r>
    </w:p>
    <w:p>
      <w:pPr>
        <w:pStyle w:val="BodyText"/>
        <w:spacing w:before="288"/>
      </w:pPr>
    </w:p>
    <w:p>
      <w:pPr>
        <w:spacing w:line="235" w:lineRule="auto" w:before="0"/>
        <w:ind w:left="110" w:right="0" w:firstLine="0"/>
        <w:jc w:val="left"/>
        <w:rPr>
          <w:sz w:val="24"/>
          <w:lang w:val="pt-BR"/>
          <w:rFonts/>
        </w:rPr>
      </w:pPr>
      <w:r>
        <w:rPr>
          <w:b w:val="true"/>
          <w:color w:val="333333"/>
          <w:w w:val="85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Inscreva-se nos </w:t>
      </w:r>
      <w:hyperlink r:id="rId10">
        <w:r>
          <w:rPr>
            <w:b w:val="true"/>
            <w:color w:val="2B71AE"/>
            <w:w w:val="85"/>
            <w:sz w:val="24"/>
            <w:u w:val="single" w:color="2B71AE"/>
            <w:i w:val="false"/>
            <w:smallCaps w:val="false"/>
            <w:strike w:val="false"/>
            <w:vertAlign w:val="baseline"/>
            <w:lang w:val="pt-BR"/>
            <w:rFonts/>
          </w:rPr>
          <w:t xml:space="preserve">serviços gratuitos de higiene cibernética da CISA</w:t>
        </w:r>
      </w:hyperlink>
      <w:r>
        <w:rPr>
          <w:b w:val="true"/>
          <w:color w:val="333333"/>
          <w:w w:val="85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, incluindo a verificação de vulnerabilidades, para ajudar a reduzir</w:t>
      </w:r>
      <w:r>
        <w:rPr>
          <w:b w:val="true"/>
          <w:color w:val="333333"/>
          <w:sz w:val="24"/>
          <w:i w:val="false"/>
          <w:smallCaps w:val="false"/>
          <w:strike w:val="false"/>
          <w:u w:val="none"/>
          <w:vertAlign w:val="baseline"/>
          <w:spacing w:val="-8"/>
          <w:lang w:val="pt-BR"/>
          <w:rFonts/>
        </w:rPr>
        <w:t xml:space="preserve"> a exposição a ameaças</w:t>
      </w:r>
      <w:r>
        <w:rPr>
          <w:color w:val="333333"/>
          <w:spacing w:val="-6"/>
          <w:sz w:val="24"/>
          <w:u w:val="none"/>
          <w:i w:val="0"/>
          <w:smallCaps w:val="0"/>
          <w:strike w:val="0"/>
          <w:vertAlign w:val="baseline"/>
          <w:lang w:val="pt-BR"/>
          <w:rFonts/>
        </w:rPr>
        <w:t>.</w:t>
      </w:r>
    </w:p>
    <w:p>
      <w:pPr>
        <w:pStyle w:val="BodyText"/>
        <w:spacing w:before="4"/>
      </w:pPr>
    </w:p>
    <w:p>
      <w:pPr>
        <w:pStyle w:val="ListParagraph"/>
        <w:numPr>
          <w:ilvl w:val="0"/>
          <w:numId w:val="1"/>
        </w:numPr>
        <w:tabs>
          <w:tab w:pos="830" w:val="left" w:leader="none"/>
        </w:tabs>
        <w:spacing w:line="237" w:lineRule="auto" w:before="1" w:after="0"/>
        <w:ind w:left="830" w:right="160" w:hanging="360"/>
        <w:jc w:val="left"/>
        <w:rPr>
          <w:rFonts w:ascii="Symbol" w:hAnsi="Symbol"/>
          <w:color w:val="333333"/>
          <w:sz w:val="24"/>
          <w:lang w:val="pt-BR"/>
        </w:rPr>
      </w:pP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Embora a Workiva não esteja qualificada para os serviços da CISA (não é um provedor de infraestrutura crítica), a Workiva é FedRAMP Moderate.</w:t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 Além disso, a Workiva fornece aos clientes relatórios de terceiros feitos por provedores autorizados pelo PCI/CREST</w:t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para realizar varreduras e testes externos semestralmente, além de nossas varreduras e testes internos.</w:t>
      </w:r>
    </w:p>
    <w:p>
      <w:pPr>
        <w:pStyle w:val="BodyText"/>
        <w:spacing w:before="7"/>
      </w:pPr>
    </w:p>
    <w:p>
      <w:pPr>
        <w:pStyle w:val="Heading1"/>
        <w:rPr>
          <w:u w:val="none"/>
          <w:lang w:val="pt-BR"/>
          <w:rFonts/>
        </w:rPr>
      </w:pPr>
      <w:bookmarkStart w:name="Take steps to quickly detect a potential" w:id="2"/>
      <w:bookmarkEnd w:id="2"/>
      <w:r>
        <w:rPr>
          <w:color w:val="333333"/>
          <w:w w:val="92"/>
          <w:u w:val="single" w:color="333333"/>
          <w:i w:val="false"/>
          <w:smallCaps w:val="false"/>
          <w:strike w:val="false"/>
          <w:vertAlign w:val="baseline"/>
          <w:spacing w:val="5"/>
          <w:lang w:val="pt-BR"/>
          <w:rFonts/>
        </w:rPr>
        <w:t xml:space="preserve">Tome medidas para detectar rapidamente uma possível intrusão</w:t>
      </w:r>
    </w:p>
    <w:p>
      <w:pPr>
        <w:pStyle w:val="BodyText"/>
        <w:spacing w:before="13"/>
        <w:rPr>
          <w:b/>
          <w:lang w:val="pt-BR"/>
          <w:rFonts/>
        </w:rPr>
      </w:pPr>
    </w:p>
    <w:p>
      <w:pPr>
        <w:spacing w:before="0"/>
        <w:ind w:left="110" w:right="0" w:firstLine="0"/>
        <w:jc w:val="left"/>
        <w:rPr>
          <w:b/>
          <w:sz w:val="24"/>
          <w:lang w:val="pt-BR"/>
          <w:rFonts/>
        </w:rPr>
      </w:pPr>
      <w:bookmarkStart w:name="Ensure that cybersecurity/IT personnel a" w:id="3"/>
      <w:bookmarkEnd w:id="3"/>
      <w:r>
        <w:rPr>
          <w:b w:val="true"/>
          <w:color w:val="333333"/>
          <w:w w:val="90"/>
          <w:sz w:val="24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Certifique-se de que a equipe de segurança cibernética/TI esteja concentrada em identificar e avaliar rapidamente qualquer comportamento inesperado ou incomum da rede.</w:t>
      </w:r>
      <w:r>
        <w:rPr>
          <w:b w:val="true"/>
          <w:color w:val="333333"/>
          <w:w w:val="90"/>
          <w:sz w:val="24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 </w:t>
      </w:r>
      <w:r>
        <w:rPr>
          <w:b w:val="true"/>
          <w:color w:val="333333"/>
          <w:w w:val="90"/>
          <w:sz w:val="24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Habilite o registro em log para investigar melhor os problemas ou</w:t>
      </w:r>
      <w:r>
        <w:rPr>
          <w:b w:val="true"/>
          <w:color w:val="333333"/>
          <w:sz w:val="24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eventos.</w:t>
      </w:r>
    </w:p>
    <w:p>
      <w:pPr>
        <w:pStyle w:val="BodyText"/>
        <w:spacing w:before="8"/>
        <w:rPr>
          <w:b/>
          <w:lang w:val="pt-BR"/>
          <w:rFonts/>
        </w:rPr>
      </w:pPr>
    </w:p>
    <w:p>
      <w:pPr>
        <w:pStyle w:val="ListParagraph"/>
        <w:numPr>
          <w:ilvl w:val="0"/>
          <w:numId w:val="1"/>
        </w:numPr>
        <w:tabs>
          <w:tab w:pos="830" w:val="left" w:leader="none"/>
        </w:tabs>
        <w:spacing w:line="237" w:lineRule="auto" w:before="0" w:after="0"/>
        <w:ind w:left="830" w:right="122" w:hanging="360"/>
        <w:jc w:val="left"/>
        <w:rPr>
          <w:rFonts w:ascii="Symbol" w:hAnsi="Symbol"/>
          <w:sz w:val="24"/>
          <w:lang w:val="pt-BR"/>
        </w:rPr>
      </w:pPr>
      <w:bookmarkStart w:name=" Workiva utilizes our security informat" w:id="4"/>
      <w:bookmarkEnd w:id="4"/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A Workiva utiliza nosso sistema de gerenciamento de eventos e informações de segurança (SIEM) para fornecer monitoramento contínuo e análise de registros.</w:t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 </w:t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A equipe de segurança da informação da Workiva analisa os logs e alertas quanto a considerações de desempenho e segurança, incluindo logs relacionados a autenticação, endpoint, aplicativo da Web e muito mais.</w:t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 </w:t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Os logs são armazenados em um sistema central de logs, transmitidos por um canal criptografado, criptografados em repouso e segregados de outros sistemas e usuários.</w:t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 </w:t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Os registros não podem ser modificados depois de gravados e a exclusão do registro é monitorada.</w:t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 </w:t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As informações de registro coletadas incluem informações como hora, tamanho dos dados, latência da resposta, tipo de transação, método de serviço da Web invocado, informações de usuário/conta/serviço, nome do host/ip, ação e/ou recursos envolvidos.</w:t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 </w:t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Os registros são continuamente monitorados quanto a anormalidades e investigados de acordo com nossos padrões e políticas.</w:t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 </w:t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Nossos alertas são continuamente revisados quanto à precisão, cobertura e eficácia, e os manuais são desenvolvidos e mantidos para padronizar e melhorar a resposta.</w:t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 </w:t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Esses dados são usados para realizar investigações de eventos e incidentes de segurança relatados.</w:t>
      </w:r>
    </w:p>
    <w:p>
      <w:pPr>
        <w:pStyle w:val="BodyText"/>
        <w:spacing w:before="26"/>
      </w:pPr>
    </w:p>
    <w:p>
      <w:pPr>
        <w:pStyle w:val="ListParagraph"/>
        <w:numPr>
          <w:ilvl w:val="0"/>
          <w:numId w:val="1"/>
        </w:numPr>
        <w:tabs>
          <w:tab w:pos="830" w:val="left" w:leader="none"/>
        </w:tabs>
        <w:spacing w:line="240" w:lineRule="auto" w:before="0" w:after="0"/>
        <w:ind w:left="830" w:right="1203" w:hanging="360"/>
        <w:jc w:val="left"/>
        <w:rPr>
          <w:rFonts w:ascii="Symbol" w:hAnsi="Symbol"/>
          <w:sz w:val="24"/>
          <w:lang w:val="pt-BR"/>
        </w:rPr>
      </w:pPr>
      <w:bookmarkStart w:name=" Activities within a customer organizat" w:id="5"/>
      <w:bookmarkEnd w:id="5"/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spacing w:val="-6"/>
          <w:lang w:val="pt-BR"/>
          <w:rFonts/>
        </w:rPr>
        <w:t xml:space="preserve">Mais informações podem ser encontradas em nosso site de ajuda: </w:t>
      </w:r>
      <w:hyperlink r:id="rId11">
        <w:r>
          <w:rPr>
            <w:color w:val="1154CC"/>
            <w:sz w:val="24"/>
            <w:u w:val="single" w:color="1154CC"/>
            <w:i w:val="false"/>
            <w:smallCaps w:val="false"/>
            <w:strike w:val="false"/>
            <w:vertAlign w:val="baseline"/>
            <w:lang w:val="pt-BR"/>
            <w:rFonts/>
          </w:rPr>
          <w:t xml:space="preserve">https://support.workiva.com/hc/en- </w:t>
        </w:r>
      </w:hyperlink>
      <w:r>
        <w:rPr>
          <w:color w:val="1154CC"/>
          <w:sz w:val="24"/>
          <w:u w:val="none"/>
          <w:i w:val="0"/>
          <w:smallCaps w:val="0"/>
          <w:strike w:val="0"/>
          <w:vertAlign w:val="baseline"/>
          <w:lang w:val="pt-BR"/>
          <w:rFonts/>
        </w:rPr>
        <w:t xml:space="preserve"> </w:t>
      </w:r>
      <w:hyperlink r:id="rId11">
        <w:r>
          <w:rPr>
            <w:color w:val="1154CC"/>
            <w:spacing w:val="-2"/>
            <w:sz w:val="24"/>
            <w:u w:val="single" w:color="1154CC"/>
            <w:i w:val="false"/>
            <w:smallCaps w:val="false"/>
            <w:strike w:val="false"/>
            <w:vertAlign w:val="baseline"/>
            <w:lang w:val="pt-BR"/>
            <w:rFonts/>
          </w:rPr>
          <w:t xml:space="preserve">us/articles/360035646392-View-Organization-Activities</w:t>
        </w:r>
      </w:hyperlink>
    </w:p>
    <w:p>
      <w:pPr>
        <w:pStyle w:val="BodyText"/>
      </w:pPr>
    </w:p>
    <w:p>
      <w:pPr>
        <w:pStyle w:val="BodyText"/>
        <w:spacing w:before="24"/>
      </w:pPr>
    </w:p>
    <w:p>
      <w:pPr>
        <w:spacing w:before="0"/>
        <w:ind w:left="110" w:right="300" w:firstLine="0"/>
        <w:jc w:val="left"/>
        <w:rPr>
          <w:b/>
          <w:sz w:val="24"/>
          <w:lang w:val="pt-BR"/>
          <w:rFonts/>
        </w:rPr>
      </w:pPr>
      <w:r>
        <w:rPr>
          <w:b w:val="true"/>
          <w:color w:val="333333"/>
          <w:w w:val="92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Confirme se toda a rede da organização está protegida por software antivírus/antimalware</w:t>
      </w:r>
      <w:r>
        <w:rPr>
          <w:b w:val="true"/>
          <w:color w:val="333333"/>
          <w:w w:val="90"/>
          <w:sz w:val="24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 e se as assinaturas dessas ferramentas estão atualizadas.</w:t>
      </w:r>
    </w:p>
    <w:p>
      <w:pPr>
        <w:pStyle w:val="ListParagraph"/>
        <w:numPr>
          <w:ilvl w:val="0"/>
          <w:numId w:val="1"/>
        </w:numPr>
        <w:tabs>
          <w:tab w:pos="830" w:val="left" w:leader="none"/>
        </w:tabs>
        <w:spacing w:line="242" w:lineRule="auto" w:before="155" w:after="0"/>
        <w:ind w:left="830" w:right="687" w:hanging="360"/>
        <w:jc w:val="left"/>
        <w:rPr>
          <w:rFonts w:ascii="Symbol" w:hAnsi="Symbol"/>
          <w:color w:val="333333"/>
          <w:sz w:val="24"/>
          <w:lang w:val="pt-BR"/>
        </w:rPr>
      </w:pP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Os dispositivos e servidores da Workiva são protegidos por software antimalware com proteção em tempo real e atualizações ativadas.</w:t>
      </w:r>
    </w:p>
    <w:p>
      <w:pPr>
        <w:spacing w:after="0" w:line="242" w:lineRule="auto"/>
        <w:jc w:val="left"/>
        <w:rPr>
          <w:rFonts w:ascii="Symbol" w:hAnsi="Symbol"/>
          <w:sz w:val="24"/>
          <w:lang w:val="pt-BR"/>
        </w:rPr>
        <w:sectPr>
          <w:pgSz w:w="12240" w:h="15840"/>
          <w:pgMar w:top="780" w:bottom="280" w:left="880" w:right="880"/>
        </w:sectPr>
      </w:pPr>
    </w:p>
    <w:p>
      <w:pPr>
        <w:spacing w:before="75"/>
        <w:ind w:left="110" w:right="300" w:firstLine="0"/>
        <w:jc w:val="left"/>
        <w:rPr>
          <w:b/>
          <w:sz w:val="24"/>
          <w:lang w:val="pt-BR"/>
          <w:rFonts/>
        </w:rPr>
      </w:pPr>
      <w:r>
        <w:rPr>
          <w:b w:val="true"/>
          <w:color w:val="333333"/>
          <w:w w:val="85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Se estiver trabalhando com organizações ucranianas, tome cuidado extra para monitorar, inspecionar e isolar o tráfego</w:t>
      </w:r>
      <w:r>
        <w:rPr>
          <w:b w:val="true"/>
          <w:color w:val="333333"/>
          <w:w w:val="90"/>
          <w:sz w:val="24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dessas organizações; analise atentamente os controles de acesso a esse tráfego.</w:t>
      </w:r>
    </w:p>
    <w:p>
      <w:pPr>
        <w:pStyle w:val="ListParagraph"/>
        <w:numPr>
          <w:ilvl w:val="0"/>
          <w:numId w:val="1"/>
        </w:numPr>
        <w:tabs>
          <w:tab w:pos="830" w:val="left" w:leader="none"/>
        </w:tabs>
        <w:spacing w:line="240" w:lineRule="auto" w:before="155" w:after="0"/>
        <w:ind w:left="830" w:right="0" w:hanging="360"/>
        <w:jc w:val="left"/>
        <w:rPr>
          <w:rFonts w:ascii="Symbol" w:hAnsi="Symbol"/>
          <w:color w:val="333333"/>
          <w:sz w:val="24"/>
          <w:lang w:val="pt-BR"/>
        </w:rPr>
      </w:pP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A Workiva não tem nenhuma operação na Ucrânia.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63"/>
      </w:pPr>
    </w:p>
    <w:p>
      <w:pPr>
        <w:pStyle w:val="Heading1"/>
        <w:rPr>
          <w:u w:val="none"/>
          <w:lang w:val="pt-BR"/>
          <w:rFonts/>
        </w:rPr>
      </w:pPr>
      <w:bookmarkStart w:name="Ensure that the organization is prepared" w:id="6"/>
      <w:bookmarkEnd w:id="6"/>
      <w:r>
        <w:rPr>
          <w:color w:val="333333"/>
          <w:w w:val="92"/>
          <w:u w:val="single" w:color="333333"/>
          <w:i w:val="false"/>
          <w:smallCaps w:val="false"/>
          <w:strike w:val="false"/>
          <w:vertAlign w:val="baseline"/>
          <w:spacing w:val="2"/>
          <w:lang w:val="pt-BR"/>
          <w:rFonts/>
        </w:rPr>
        <w:t xml:space="preserve">Assegurar que a organização esteja preparada para reagir em caso de invasão.</w:t>
      </w:r>
    </w:p>
    <w:p>
      <w:pPr>
        <w:spacing w:line="237" w:lineRule="auto" w:before="165"/>
        <w:ind w:left="110" w:right="300" w:firstLine="0"/>
        <w:jc w:val="left"/>
        <w:rPr>
          <w:b/>
          <w:sz w:val="24"/>
          <w:lang w:val="pt-BR"/>
          <w:rFonts/>
        </w:rPr>
      </w:pPr>
      <w:r>
        <w:rPr>
          <w:b w:val="true"/>
          <w:color w:val="333333"/>
          <w:w w:val="91"/>
          <w:sz w:val="24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Designe uma equipe de resposta a crises com os principais pontos de contato para uma suspeita de incidente de segurança cibernética e funções/responsabilidades dentro da organização, incluindo tecnologia, comunicações, jurídico e continuidade dos negócios.</w:t>
      </w:r>
    </w:p>
    <w:p>
      <w:pPr>
        <w:pStyle w:val="ListParagraph"/>
        <w:numPr>
          <w:ilvl w:val="0"/>
          <w:numId w:val="1"/>
        </w:numPr>
        <w:tabs>
          <w:tab w:pos="830" w:val="left" w:leader="none"/>
        </w:tabs>
        <w:spacing w:line="240" w:lineRule="auto" w:before="161" w:after="0"/>
        <w:ind w:left="830" w:right="290" w:hanging="360"/>
        <w:jc w:val="left"/>
        <w:rPr>
          <w:rFonts w:ascii="Symbol" w:hAnsi="Symbol"/>
          <w:sz w:val="24"/>
          <w:lang w:val="pt-BR"/>
        </w:rPr>
      </w:pP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A equipe de Segurança da Informação da Workiva reconhece a necessidade de estar alerta aos riscos externos e está atenta à procura de possíveis problemas.</w:t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 </w:t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Também empregamos o monitoramento ativo das principais informações usadas para identificar ameaças.</w:t>
      </w:r>
    </w:p>
    <w:p>
      <w:pPr>
        <w:pStyle w:val="BodyText"/>
        <w:spacing w:line="287" w:lineRule="exact"/>
        <w:ind w:left="830"/>
      </w:pP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 Workiva mantém um plano de resposta a incidentes que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aborda</w:t>
      </w:r>
    </w:p>
    <w:p>
      <w:pPr>
        <w:pStyle w:val="ListParagraph"/>
        <w:numPr>
          <w:ilvl w:val="1"/>
          <w:numId w:val="1"/>
        </w:numPr>
        <w:tabs>
          <w:tab w:pos="1550" w:val="left" w:leader="none"/>
        </w:tabs>
        <w:spacing w:line="293" w:lineRule="exact" w:before="156" w:after="0"/>
        <w:ind w:left="1550" w:right="0" w:hanging="359"/>
        <w:jc w:val="left"/>
        <w:rPr>
          <w:sz w:val="24"/>
          <w:lang w:val="pt-BR"/>
          <w:rFonts/>
        </w:rPr>
      </w:pPr>
      <w:r>
        <w:rPr>
          <w:color w:val="333333"/>
          <w:spacing w:val="-2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Identificação</w:t>
      </w:r>
    </w:p>
    <w:p>
      <w:pPr>
        <w:pStyle w:val="ListParagraph"/>
        <w:numPr>
          <w:ilvl w:val="1"/>
          <w:numId w:val="1"/>
        </w:numPr>
        <w:tabs>
          <w:tab w:pos="1550" w:val="left" w:leader="none"/>
        </w:tabs>
        <w:spacing w:line="288" w:lineRule="exact" w:before="0" w:after="0"/>
        <w:ind w:left="1550" w:right="0" w:hanging="359"/>
        <w:jc w:val="left"/>
        <w:rPr>
          <w:sz w:val="24"/>
          <w:lang w:val="pt-BR"/>
          <w:rFonts/>
        </w:rPr>
      </w:pPr>
      <w:r>
        <w:rPr>
          <w:color w:val="333333"/>
          <w:spacing w:val="-2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Documentação</w:t>
      </w:r>
    </w:p>
    <w:p>
      <w:pPr>
        <w:pStyle w:val="ListParagraph"/>
        <w:numPr>
          <w:ilvl w:val="1"/>
          <w:numId w:val="1"/>
        </w:numPr>
        <w:tabs>
          <w:tab w:pos="1550" w:val="left" w:leader="none"/>
        </w:tabs>
        <w:spacing w:line="290" w:lineRule="exact" w:before="0" w:after="0"/>
        <w:ind w:left="1550" w:right="0" w:hanging="359"/>
        <w:jc w:val="left"/>
        <w:rPr>
          <w:sz w:val="24"/>
          <w:lang w:val="pt-BR"/>
          <w:rFonts/>
        </w:rPr>
      </w:pPr>
      <w:r>
        <w:rPr>
          <w:color w:val="333333"/>
          <w:spacing w:val="-2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Isolamento</w:t>
      </w:r>
    </w:p>
    <w:p>
      <w:pPr>
        <w:pStyle w:val="ListParagraph"/>
        <w:numPr>
          <w:ilvl w:val="1"/>
          <w:numId w:val="1"/>
        </w:numPr>
        <w:tabs>
          <w:tab w:pos="1550" w:val="left" w:leader="none"/>
        </w:tabs>
        <w:spacing w:line="288" w:lineRule="exact" w:before="0" w:after="0"/>
        <w:ind w:left="1550" w:right="0" w:hanging="359"/>
        <w:jc w:val="left"/>
        <w:rPr>
          <w:sz w:val="24"/>
          <w:lang w:val="pt-BR"/>
          <w:rFonts/>
        </w:rPr>
      </w:pPr>
      <w:r>
        <w:rPr>
          <w:color w:val="333333"/>
          <w:spacing w:val="-2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Resolução</w:t>
      </w:r>
    </w:p>
    <w:p>
      <w:pPr>
        <w:pStyle w:val="ListParagraph"/>
        <w:numPr>
          <w:ilvl w:val="1"/>
          <w:numId w:val="1"/>
        </w:numPr>
        <w:tabs>
          <w:tab w:pos="1550" w:val="left" w:leader="none"/>
        </w:tabs>
        <w:spacing w:line="288" w:lineRule="exact" w:before="0" w:after="0"/>
        <w:ind w:left="1550" w:right="0" w:hanging="359"/>
        <w:jc w:val="left"/>
        <w:rPr>
          <w:sz w:val="24"/>
          <w:lang w:val="pt-BR"/>
          <w:rFonts/>
        </w:rPr>
      </w:pPr>
      <w:r>
        <w:rPr>
          <w:color w:val="333333"/>
          <w:spacing w:val="-2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Comunicação</w:t>
      </w:r>
    </w:p>
    <w:p>
      <w:pPr>
        <w:pStyle w:val="ListParagraph"/>
        <w:numPr>
          <w:ilvl w:val="1"/>
          <w:numId w:val="1"/>
        </w:numPr>
        <w:tabs>
          <w:tab w:pos="1550" w:val="left" w:leader="none"/>
        </w:tabs>
        <w:spacing w:line="295" w:lineRule="exact" w:before="0" w:after="0"/>
        <w:ind w:left="1550" w:right="0" w:hanging="359"/>
        <w:jc w:val="left"/>
        <w:rPr>
          <w:sz w:val="24"/>
          <w:lang w:val="pt-BR"/>
          <w:rFonts/>
        </w:rPr>
      </w:pPr>
      <w:r>
        <w:rPr>
          <w:color w:val="333333"/>
          <w:spacing w:val="-2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Escalonamento</w:t>
      </w:r>
    </w:p>
    <w:p>
      <w:pPr>
        <w:pStyle w:val="BodyText"/>
      </w:pPr>
    </w:p>
    <w:p>
      <w:pPr>
        <w:pStyle w:val="BodyText"/>
        <w:spacing w:before="15"/>
      </w:pPr>
    </w:p>
    <w:p>
      <w:pPr>
        <w:spacing w:before="0"/>
        <w:ind w:left="110" w:right="300" w:firstLine="0"/>
        <w:jc w:val="left"/>
        <w:rPr>
          <w:b/>
          <w:sz w:val="24"/>
          <w:lang w:val="pt-BR"/>
          <w:rFonts/>
        </w:rPr>
      </w:pPr>
      <w:r>
        <w:rPr>
          <w:b w:val="true"/>
          <w:color w:val="333333"/>
          <w:sz w:val="24"/>
          <w:i w:val="false"/>
          <w:smallCaps w:val="false"/>
          <w:strike w:val="false"/>
          <w:u w:val="none"/>
          <w:vertAlign w:val="baseline"/>
          <w:w w:val="92"/>
          <w:lang w:val="pt-BR"/>
          <w:rFonts/>
        </w:rPr>
        <w:t xml:space="preserve">Assegurar a disponibilidade do pessoal-chave; identificar meios de fornecer suporte de surto para responder a</w:t>
      </w:r>
      <w:r>
        <w:rPr>
          <w:b w:val="true"/>
          <w:color w:val="333333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um incidente.</w:t>
      </w:r>
    </w:p>
    <w:p>
      <w:pPr>
        <w:pStyle w:val="ListParagraph"/>
        <w:numPr>
          <w:ilvl w:val="0"/>
          <w:numId w:val="1"/>
        </w:numPr>
        <w:tabs>
          <w:tab w:pos="830" w:val="left" w:leader="none"/>
        </w:tabs>
        <w:spacing w:line="237" w:lineRule="auto" w:before="163" w:after="0"/>
        <w:ind w:left="830" w:right="170" w:hanging="360"/>
        <w:jc w:val="left"/>
        <w:rPr>
          <w:rFonts w:ascii="Symbol" w:hAnsi="Symbol"/>
          <w:color w:val="333333"/>
          <w:sz w:val="24"/>
          <w:lang w:val="pt-BR"/>
        </w:rPr>
      </w:pP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A Workiva mantém uma equipe de suporte 24 horas por dia, 7 dias por semana, com paginação de plantão para as equipes relevantes, que é testada anualmente como parte de nossos testes de continuidade de negócios e recuperação de desastres.</w:t>
      </w:r>
    </w:p>
    <w:p>
      <w:pPr>
        <w:pStyle w:val="BodyText"/>
      </w:pPr>
    </w:p>
    <w:p>
      <w:pPr>
        <w:pStyle w:val="BodyText"/>
        <w:spacing w:before="26"/>
      </w:pPr>
    </w:p>
    <w:p>
      <w:pPr>
        <w:spacing w:before="0"/>
        <w:ind w:left="110" w:right="300" w:firstLine="0"/>
        <w:jc w:val="left"/>
        <w:rPr>
          <w:b/>
          <w:sz w:val="24"/>
          <w:lang w:val="pt-BR"/>
          <w:rFonts/>
        </w:rPr>
      </w:pPr>
      <w:r>
        <w:rPr>
          <w:b w:val="true"/>
          <w:color w:val="333333"/>
          <w:w w:val="85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Realize um exercício de mesa para garantir que todos os participantes entendam suas funções durante um</w:t>
      </w:r>
      <w:r>
        <w:rPr>
          <w:b w:val="true"/>
          <w:color w:val="333333"/>
          <w:w w:val="95"/>
          <w:sz w:val="24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incidente.</w:t>
      </w:r>
    </w:p>
    <w:p>
      <w:pPr>
        <w:pStyle w:val="ListParagraph"/>
        <w:numPr>
          <w:ilvl w:val="0"/>
          <w:numId w:val="1"/>
        </w:numPr>
        <w:tabs>
          <w:tab w:pos="830" w:val="left" w:leader="none"/>
        </w:tabs>
        <w:spacing w:line="240" w:lineRule="auto" w:before="155" w:after="0"/>
        <w:ind w:left="830" w:right="201" w:hanging="360"/>
        <w:jc w:val="left"/>
        <w:rPr>
          <w:rFonts w:ascii="Symbol" w:hAnsi="Symbol"/>
          <w:color w:val="333333"/>
          <w:sz w:val="24"/>
          <w:lang w:val="pt-BR"/>
        </w:rPr>
      </w:pP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A Workiva realiza exercícios de mesa trimestrais, além de testes anuais de continuidade de negócios e recuperação de desastres para garantir que as equipes estejam bem familiarizadas com os planos da Workiva e conheçam suas respectivas funções.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59"/>
      </w:pPr>
    </w:p>
    <w:p>
      <w:pPr>
        <w:pStyle w:val="Heading1"/>
        <w:rPr>
          <w:u w:val="none"/>
          <w:lang w:val="pt-BR"/>
          <w:rFonts/>
        </w:rPr>
      </w:pPr>
      <w:bookmarkStart w:name="Maximize the organization's resilience t" w:id="7"/>
      <w:bookmarkEnd w:id="7"/>
      <w:r>
        <w:rPr>
          <w:color w:val="333333"/>
          <w:w w:val="85"/>
          <w:u w:val="single" w:color="333333"/>
          <w:i w:val="false"/>
          <w:smallCaps w:val="false"/>
          <w:strike w:val="false"/>
          <w:vertAlign w:val="baseline"/>
          <w:lang w:val="pt-BR"/>
          <w:rFonts/>
        </w:rPr>
        <w:t xml:space="preserve">Maximizar a resistência da organização</w:t>
      </w:r>
      <w:r>
        <w:rPr>
          <w:color w:val="333333"/>
          <w:w w:val="92"/>
          <w:u w:val="single" w:color="333333"/>
          <w:i w:val="false"/>
          <w:smallCaps w:val="false"/>
          <w:strike w:val="false"/>
          <w:vertAlign w:val="baseline"/>
          <w:spacing w:val="5"/>
          <w:lang w:val="pt-BR"/>
          <w:rFonts/>
        </w:rPr>
        <w:t xml:space="preserve"> a um incidente cibernético destrutivo</w:t>
      </w:r>
    </w:p>
    <w:p>
      <w:pPr>
        <w:pStyle w:val="BodyText"/>
        <w:spacing w:before="13"/>
        <w:rPr>
          <w:b/>
          <w:lang w:val="pt-BR"/>
          <w:rFonts/>
        </w:rPr>
      </w:pPr>
    </w:p>
    <w:p>
      <w:pPr>
        <w:spacing w:before="0"/>
        <w:ind w:left="110" w:right="0" w:firstLine="0"/>
        <w:jc w:val="left"/>
        <w:rPr>
          <w:b/>
          <w:sz w:val="24"/>
          <w:lang w:val="pt-BR"/>
          <w:rFonts/>
        </w:rPr>
      </w:pPr>
      <w:bookmarkStart w:name="Test backup procedures to ensure that cr" w:id="8"/>
      <w:bookmarkEnd w:id="8"/>
      <w:r>
        <w:rPr>
          <w:b w:val="true"/>
          <w:color w:val="333333"/>
          <w:w w:val="92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Teste os procedimentos de backup para garantir que os dados essenciais possam ser restaurados rapidamente se a organização for</w:t>
      </w:r>
      <w:r>
        <w:rPr>
          <w:b w:val="true"/>
          <w:color w:val="333333"/>
          <w:w w:val="91"/>
          <w:sz w:val="24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 afetada por ransomware ou por um ataque cibernético destrutivo; certifique-se de que os backups estejam isolados das conexões de rede.</w:t>
      </w:r>
    </w:p>
    <w:p>
      <w:pPr>
        <w:pStyle w:val="ListParagraph"/>
        <w:numPr>
          <w:ilvl w:val="0"/>
          <w:numId w:val="1"/>
        </w:numPr>
        <w:tabs>
          <w:tab w:pos="830" w:val="left" w:leader="none"/>
        </w:tabs>
        <w:spacing w:line="240" w:lineRule="auto" w:before="155" w:after="0"/>
        <w:ind w:left="830" w:right="564" w:hanging="360"/>
        <w:jc w:val="left"/>
        <w:rPr>
          <w:rFonts w:ascii="Symbol" w:hAnsi="Symbol"/>
          <w:sz w:val="24"/>
          <w:lang w:val="pt-BR"/>
        </w:rPr>
      </w:pP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4"/>
          <w:lang w:val="pt-BR"/>
          <w:rFonts/>
        </w:rPr>
        <w:t xml:space="preserve">A Workiva utiliza backup de dados redundantes para oferecer recuperação pontual.</w:t>
      </w: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4"/>
          <w:lang w:val="pt-BR"/>
          <w:rFonts/>
        </w:rPr>
        <w:t xml:space="preserve"> </w:t>
      </w: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4"/>
          <w:lang w:val="pt-BR"/>
          <w:rFonts/>
        </w:rPr>
        <w:t xml:space="preserve">Além disso, a Workiva permite que os clientes administrem suas contas por conta própria.</w:t>
      </w: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4"/>
          <w:lang w:val="pt-BR"/>
          <w:rFonts/>
        </w:rPr>
        <w:t xml:space="preserve"> </w:t>
      </w: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4"/>
          <w:lang w:val="pt-BR"/>
          <w:rFonts/>
        </w:rPr>
        <w:t xml:space="preserve">A qualquer momento, um cliente pode salvar/exportar um documento ou excluir um documento.</w:t>
      </w: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4"/>
          <w:lang w:val="pt-BR"/>
          <w:rFonts/>
        </w:rPr>
        <w:t xml:space="preserve"> </w:t>
      </w: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4"/>
          <w:lang w:val="pt-BR"/>
          <w:rFonts/>
        </w:rPr>
        <w:t xml:space="preserve">A Workiva apóia a economia</w:t>
      </w:r>
    </w:p>
    <w:p>
      <w:pPr>
        <w:spacing w:after="0" w:line="240" w:lineRule="auto"/>
        <w:jc w:val="left"/>
        <w:rPr>
          <w:rFonts w:ascii="Symbol" w:hAnsi="Symbol"/>
          <w:sz w:val="24"/>
          <w:lang w:val="pt-BR"/>
        </w:rPr>
        <w:sectPr>
          <w:pgSz w:w="12240" w:h="15840"/>
          <w:pgMar w:top="780" w:bottom="280" w:left="880" w:right="880"/>
        </w:sectPr>
      </w:pPr>
    </w:p>
    <w:p>
      <w:pPr>
        <w:pStyle w:val="BodyText"/>
        <w:spacing w:line="235" w:lineRule="auto" w:before="80"/>
        <w:ind w:left="830"/>
      </w:pPr>
      <w:r>
        <w:rPr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arquivos nos formatos DOCX (MS Word), XLSX (MS Excel) ou PDF (Adobe) para arquivamento em seus próprios sistemas.</w:t>
      </w:r>
    </w:p>
    <w:p>
      <w:pPr>
        <w:pStyle w:val="ListParagraph"/>
        <w:numPr>
          <w:ilvl w:val="0"/>
          <w:numId w:val="1"/>
        </w:numPr>
        <w:tabs>
          <w:tab w:pos="830" w:val="left" w:leader="none"/>
        </w:tabs>
        <w:spacing w:line="237" w:lineRule="auto" w:before="4" w:after="0"/>
        <w:ind w:left="830" w:right="119" w:hanging="360"/>
        <w:jc w:val="left"/>
        <w:rPr>
          <w:rFonts w:ascii="Symbol" w:hAnsi="Symbol"/>
          <w:sz w:val="24"/>
          <w:lang w:val="pt-BR"/>
        </w:rPr>
      </w:pP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Ferramentas do cliente: </w:t>
      </w:r>
      <w:hyperlink r:id="rId12">
        <w:r>
          <w:rPr>
            <w:color w:val="1154CC"/>
            <w:sz w:val="24"/>
            <w:u w:val="single" w:color="1154CC"/>
            <w:i w:val="false"/>
            <w:smallCaps w:val="false"/>
            <w:strike w:val="false"/>
            <w:vertAlign w:val="baseline"/>
            <w:lang w:val="pt-BR"/>
            <w:rFonts/>
          </w:rPr>
          <w:t xml:space="preserve">https://support.workiva.com/hc/en-us/articles/360035639692-Prepare- </w:t>
        </w:r>
      </w:hyperlink>
      <w:r>
        <w:rPr>
          <w:color w:val="1154CC"/>
          <w:sz w:val="24"/>
          <w:u w:val="none"/>
          <w:i w:val="0"/>
          <w:smallCaps w:val="0"/>
          <w:strike w:val="0"/>
          <w:vertAlign w:val="baseline"/>
          <w:lang w:val="pt-BR"/>
          <w:rFonts/>
        </w:rPr>
        <w:t xml:space="preserve"> </w:t>
      </w:r>
      <w:hyperlink r:id="rId12">
        <w:r>
          <w:rPr>
            <w:color w:val="1154CC"/>
            <w:spacing w:val="-2"/>
            <w:sz w:val="24"/>
            <w:u w:val="single" w:color="1154CC"/>
            <w:i w:val="false"/>
            <w:smallCaps w:val="false"/>
            <w:strike w:val="false"/>
            <w:vertAlign w:val="baseline"/>
            <w:lang w:val="pt-BR"/>
            <w:rFonts/>
          </w:rPr>
          <w:t xml:space="preserve">for-the-Unexpected</w:t>
        </w:r>
      </w:hyperlink>
    </w:p>
    <w:p>
      <w:pPr>
        <w:pStyle w:val="BodyText"/>
        <w:spacing w:before="156"/>
      </w:pPr>
    </w:p>
    <w:p>
      <w:pPr>
        <w:spacing w:before="0"/>
        <w:ind w:left="110" w:right="302" w:firstLine="0"/>
        <w:jc w:val="both"/>
        <w:rPr>
          <w:b/>
          <w:sz w:val="24"/>
          <w:lang w:val="pt-BR"/>
          <w:rFonts/>
        </w:rPr>
      </w:pPr>
      <w:r>
        <w:rPr>
          <w:b w:val="true"/>
          <w:color w:val="333333"/>
          <w:w w:val="92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Se estiver usando sistemas de controle industrial ou tecnologia operacional, realize um teste de controles manuais</w:t>
      </w:r>
      <w:r>
        <w:rPr>
          <w:b w:val="true"/>
          <w:color w:val="333333"/>
          <w:w w:val="90"/>
          <w:sz w:val="24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 para garantir que as funções essenciais permaneçam operáveis se a rede da organização não estiver disponível ou não for confiável.</w:t>
      </w:r>
    </w:p>
    <w:p>
      <w:pPr>
        <w:pStyle w:val="ListParagraph"/>
        <w:numPr>
          <w:ilvl w:val="0"/>
          <w:numId w:val="1"/>
        </w:numPr>
        <w:tabs>
          <w:tab w:pos="830" w:val="left" w:leader="none"/>
        </w:tabs>
        <w:spacing w:line="240" w:lineRule="auto" w:before="160" w:after="0"/>
        <w:ind w:left="830" w:right="0" w:hanging="360"/>
        <w:jc w:val="left"/>
        <w:rPr>
          <w:rFonts w:ascii="Symbol" w:hAnsi="Symbol"/>
          <w:color w:val="333333"/>
          <w:sz w:val="24"/>
          <w:lang w:val="pt-BR"/>
        </w:rPr>
      </w:pP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A Workiva não utiliza sistemas de controle industrial.</w:t>
      </w:r>
    </w:p>
    <w:p>
      <w:pPr>
        <w:pStyle w:val="ListParagraph"/>
        <w:numPr>
          <w:ilvl w:val="0"/>
          <w:numId w:val="1"/>
        </w:numPr>
        <w:tabs>
          <w:tab w:pos="830" w:val="left" w:leader="none"/>
        </w:tabs>
        <w:spacing w:line="240" w:lineRule="auto" w:before="157" w:after="0"/>
        <w:ind w:left="830" w:right="321" w:hanging="360"/>
        <w:jc w:val="left"/>
        <w:rPr>
          <w:rFonts w:ascii="Symbol" w:hAnsi="Symbol"/>
          <w:color w:val="333333"/>
          <w:sz w:val="24"/>
          <w:lang w:val="pt-BR"/>
        </w:rPr>
      </w:pPr>
      <w:r>
        <w:rPr>
          <w:color w:val="333333"/>
          <w:sz w:val="24"/>
          <w:u w:val="none"/>
          <w:i w:val="false"/>
          <w:smallCaps w:val="false"/>
          <w:strike w:val="false"/>
          <w:vertAlign w:val="baseline"/>
          <w:spacing w:val="-6"/>
          <w:lang w:val="pt-BR"/>
          <w:rFonts/>
        </w:rPr>
        <w:t xml:space="preserve">Ao implementar as etapas acima, todas as organizações podem fazer progressos de curto prazo para melhorar a segurança cibernética e a resiliência.</w:t>
      </w:r>
      <w:r>
        <w:rPr>
          <w:color w:val="333333"/>
          <w:sz w:val="24"/>
          <w:u w:val="none"/>
          <w:i w:val="false"/>
          <w:smallCaps w:val="false"/>
          <w:strike w:val="false"/>
          <w:vertAlign w:val="baseline"/>
          <w:spacing w:val="-6"/>
          <w:lang w:val="pt-BR"/>
          <w:rFonts/>
        </w:rPr>
        <w:t xml:space="preserve"> </w:t>
      </w:r>
      <w:r>
        <w:rPr>
          <w:color w:val="333333"/>
          <w:sz w:val="24"/>
          <w:u w:val="none"/>
          <w:i w:val="false"/>
          <w:smallCaps w:val="false"/>
          <w:strike w:val="false"/>
          <w:vertAlign w:val="baseline"/>
          <w:spacing w:val="-6"/>
          <w:lang w:val="pt-BR"/>
          <w:rFonts/>
        </w:rPr>
        <w:t xml:space="preserve">Além disso, embora os incidentes cibernéticos recentes não tenham sido atribuídos a agentes específicos, a CISA recomenda que o pessoal de segurança cibernética/TI de todas as organizações analise o documento </w:t>
      </w:r>
      <w:hyperlink r:id="rId13">
        <w:r>
          <w:rPr>
            <w:color w:val="2B71AE"/>
            <w:sz w:val="24"/>
            <w:u w:val="single" w:color="2B71AE"/>
            <w:i w:val="false"/>
            <w:smallCaps w:val="false"/>
            <w:strike w:val="false"/>
            <w:vertAlign w:val="baseline"/>
            <w:lang w:val="pt-BR"/>
            <w:rFonts/>
          </w:rPr>
          <w:t xml:space="preserve">Understanding and Mitigating Russian State-Sponsored Cyber </w:t>
        </w:r>
      </w:hyperlink>
      <w:r>
        <w:rPr>
          <w:color w:val="2B71AE"/>
          <w:sz w:val="24"/>
          <w:u w:val="none"/>
          <w:i w:val="0"/>
          <w:smallCaps w:val="0"/>
          <w:strike w:val="0"/>
          <w:vertAlign w:val="baseline"/>
          <w:lang w:val="pt-BR"/>
          <w:rFonts/>
        </w:rPr>
        <w:t xml:space="preserve"> </w:t>
      </w:r>
      <w:hyperlink r:id="rId13">
        <w:r>
          <w:rPr>
            <w:color w:val="2B71AE"/>
            <w:sz w:val="24"/>
            <w:u w:val="single" w:color="2B71AE"/>
            <w:i w:val="false"/>
            <w:smallCaps w:val="false"/>
            <w:strike w:val="false"/>
            <w:vertAlign w:val="baseline"/>
            <w:lang w:val="pt-BR"/>
            <w:rFonts/>
          </w:rPr>
          <w:t xml:space="preserve">Threats to U.S. Critical Infrastructure</w:t>
        </w:r>
      </w:hyperlink>
      <w:r>
        <w:rPr>
          <w:color w:val="333333"/>
          <w:sz w:val="24"/>
          <w:u w:val="none"/>
          <w:i w:val="false"/>
          <w:smallCaps w:val="false"/>
          <w:strike w:val="false"/>
          <w:vertAlign w:val="baseline"/>
          <w:lang w:val="pt-BR"/>
          <w:rFonts/>
        </w:rPr>
        <w:t xml:space="preserve">.</w:t>
      </w:r>
      <w:r>
        <w:rPr>
          <w:color w:val="333333"/>
          <w:sz w:val="24"/>
          <w:u w:val="none"/>
          <w:i w:val="false"/>
          <w:smallCaps w:val="false"/>
          <w:strike w:val="false"/>
          <w:vertAlign w:val="baseline"/>
          <w:lang w:val="pt-BR"/>
          <w:rFonts/>
        </w:rPr>
        <w:t xml:space="preserve"> </w:t>
      </w:r>
      <w:r>
        <w:rPr>
          <w:color w:val="333333"/>
          <w:sz w:val="24"/>
          <w:u w:val="none"/>
          <w:i w:val="false"/>
          <w:smallCaps w:val="false"/>
          <w:strike w:val="false"/>
          <w:vertAlign w:val="baseline"/>
          <w:lang w:val="pt-BR"/>
          <w:rFonts/>
        </w:rPr>
        <w:t xml:space="preserve">A CISA também recomenda que as organizações visitem o </w:t>
      </w:r>
      <w:hyperlink r:id="rId14">
        <w:r>
          <w:rPr>
            <w:color w:val="2B71AE"/>
            <w:sz w:val="24"/>
            <w:u w:val="single" w:color="2B71AE"/>
            <w:i w:val="false"/>
            <w:smallCaps w:val="false"/>
            <w:strike w:val="false"/>
            <w:vertAlign w:val="baseline"/>
            <w:lang w:val="pt-BR"/>
            <w:rFonts/>
          </w:rPr>
          <w:t xml:space="preserve">StopRansomware.gov</w:t>
        </w:r>
      </w:hyperlink>
      <w:r>
        <w:rPr>
          <w:color w:val="333333"/>
          <w:sz w:val="24"/>
          <w:u w:val="none"/>
          <w:i w:val="false"/>
          <w:smallCaps w:val="false"/>
          <w:strike w:val="false"/>
          <w:vertAlign w:val="baseline"/>
          <w:lang w:val="pt-BR"/>
          <w:rFonts/>
        </w:rPr>
        <w:t xml:space="preserve">, uma página da Web centralizada e de todo o governo que fornece recursos e alertas sobre ransomware.</w:t>
      </w:r>
    </w:p>
    <w:p>
      <w:pPr>
        <w:pStyle w:val="ListParagraph"/>
        <w:numPr>
          <w:ilvl w:val="0"/>
          <w:numId w:val="1"/>
        </w:numPr>
        <w:tabs>
          <w:tab w:pos="830" w:val="left" w:leader="none"/>
        </w:tabs>
        <w:spacing w:line="240" w:lineRule="auto" w:before="148" w:after="0"/>
        <w:ind w:left="830" w:right="264" w:hanging="360"/>
        <w:jc w:val="left"/>
        <w:rPr>
          <w:rFonts w:ascii="Symbol" w:hAnsi="Symbol"/>
          <w:color w:val="333333"/>
          <w:sz w:val="24"/>
          <w:lang w:val="pt-BR"/>
        </w:rPr>
      </w:pPr>
      <w:r>
        <w:rPr>
          <w:color w:val="333333"/>
          <w:sz w:val="24"/>
          <w:u w:val="none"/>
          <w:i w:val="false"/>
          <w:smallCaps w:val="false"/>
          <w:strike w:val="false"/>
          <w:vertAlign w:val="baseline"/>
          <w:spacing w:val="-3"/>
          <w:lang w:val="pt-BR"/>
          <w:rFonts/>
        </w:rPr>
        <w:t xml:space="preserve">Como agência de defesa cibernética do país, a CISA está disponível para ajudar as organizações a melhorar a segurança cibernética e a resiliência, inclusive por meio de especialistas em segurança cibernética designados em todo o país.</w:t>
      </w:r>
      <w:r>
        <w:rPr>
          <w:color w:val="333333"/>
          <w:sz w:val="24"/>
          <w:u w:val="none"/>
          <w:i w:val="false"/>
          <w:smallCaps w:val="false"/>
          <w:strike w:val="false"/>
          <w:vertAlign w:val="baseline"/>
          <w:spacing w:val="-3"/>
          <w:lang w:val="pt-BR"/>
          <w:rFonts/>
        </w:rPr>
        <w:t xml:space="preserve"> </w:t>
      </w:r>
      <w:r>
        <w:rPr>
          <w:color w:val="333333"/>
          <w:sz w:val="24"/>
          <w:u w:val="none"/>
          <w:i w:val="false"/>
          <w:smallCaps w:val="false"/>
          <w:strike w:val="false"/>
          <w:vertAlign w:val="baseline"/>
          <w:spacing w:val="-3"/>
          <w:lang w:val="pt-BR"/>
          <w:rFonts/>
        </w:rPr>
        <w:t xml:space="preserve">No caso de um incidente cibernético, a CISA pode oferecer assistência às organizações vítimas e usar as informações dos relatórios de incidentes para proteger outras possíveis vítimas.</w:t>
      </w:r>
      <w:r>
        <w:rPr>
          <w:color w:val="333333"/>
          <w:sz w:val="24"/>
          <w:u w:val="none"/>
          <w:i w:val="false"/>
          <w:smallCaps w:val="false"/>
          <w:strike w:val="false"/>
          <w:vertAlign w:val="baseline"/>
          <w:spacing w:val="-3"/>
          <w:lang w:val="pt-BR"/>
          <w:rFonts/>
        </w:rPr>
        <w:t xml:space="preserve"> </w:t>
      </w:r>
      <w:r>
        <w:rPr>
          <w:color w:val="333333"/>
          <w:sz w:val="24"/>
          <w:u w:val="none"/>
          <w:i w:val="false"/>
          <w:smallCaps w:val="false"/>
          <w:strike w:val="false"/>
          <w:vertAlign w:val="baseline"/>
          <w:spacing w:val="-3"/>
          <w:lang w:val="pt-BR"/>
          <w:rFonts/>
        </w:rPr>
        <w:t xml:space="preserve">Todas as organizações devem relatar incidentes e atividades anômalas à </w:t>
      </w:r>
      <w:hyperlink r:id="rId15">
        <w:r>
          <w:rPr>
            <w:color w:val="2B71AE"/>
            <w:sz w:val="24"/>
            <w:u w:val="single" w:color="2B71AE"/>
            <w:i w:val="false"/>
            <w:smallCaps w:val="false"/>
            <w:strike w:val="false"/>
            <w:vertAlign w:val="baseline"/>
            <w:lang w:val="pt-BR"/>
            <w:rFonts/>
          </w:rPr>
          <w:t xml:space="preserve">CISA</w:t>
        </w:r>
      </w:hyperlink>
      <w:r>
        <w:rPr>
          <w:color w:val="333333"/>
          <w:sz w:val="24"/>
          <w:u w:val="none"/>
          <w:i w:val="false"/>
          <w:smallCaps w:val="false"/>
          <w:strike w:val="false"/>
          <w:vertAlign w:val="baseline"/>
          <w:lang w:val="pt-BR"/>
          <w:rFonts/>
        </w:rPr>
        <w:t xml:space="preserve"> e/ou ao FBI por meio do </w:t>
      </w:r>
      <w:hyperlink r:id="rId16">
        <w:r>
          <w:rPr>
            <w:color w:val="2B71AE"/>
            <w:sz w:val="24"/>
            <w:u w:val="single" w:color="2B71AE"/>
            <w:i w:val="false"/>
            <w:smallCaps w:val="false"/>
            <w:strike w:val="false"/>
            <w:vertAlign w:val="baseline"/>
            <w:lang w:val="pt-BR"/>
            <w:rFonts/>
          </w:rPr>
          <w:t xml:space="preserve">escritório local do FBI</w:t>
        </w:r>
      </w:hyperlink>
      <w:r>
        <w:rPr>
          <w:color w:val="333333"/>
          <w:sz w:val="24"/>
          <w:u w:val="none"/>
          <w:i w:val="false"/>
          <w:smallCaps w:val="false"/>
          <w:strike w:val="false"/>
          <w:vertAlign w:val="baseline"/>
          <w:lang w:val="pt-BR"/>
          <w:rFonts/>
        </w:rPr>
        <w:t xml:space="preserve"> ou do CyWatch 24/7 do FBI pelo telefone (855) 292-3937 ou pelo </w:t>
      </w:r>
      <w:hyperlink r:id="rId17">
        <w:r>
          <w:rPr>
            <w:color w:val="2B71AE"/>
            <w:spacing w:val="-2"/>
            <w:sz w:val="24"/>
            <w:u w:val="none"/>
            <w:i w:val="false"/>
            <w:smallCaps w:val="false"/>
            <w:strike w:val="false"/>
            <w:vertAlign w:val="baseline"/>
            <w:lang w:val="pt-BR"/>
            <w:rFonts/>
          </w:rPr>
          <w:t xml:space="preserve">site</w:t>
        </w:r>
        <w:r>
          <w:rPr>
            <w:color w:val="333333"/>
            <w:spacing w:val="-2"/>
            <w:sz w:val="24"/>
            <w:u w:val="none"/>
            <w:i w:val="0"/>
            <w:smallCaps w:val="0"/>
            <w:strike w:val="0"/>
            <w:vertAlign w:val="baseline"/>
            <w:lang w:val="pt-BR"/>
            <w:rFonts/>
          </w:rPr>
          <w:t>CyWatch@fbi.gov.</w:t>
        </w:r>
      </w:hyperlink>
    </w:p>
    <w:p>
      <w:pPr>
        <w:pStyle w:val="Heading1"/>
        <w:spacing w:before="144"/>
        <w:rPr>
          <w:u w:val="none"/>
          <w:lang w:val="pt-BR"/>
          <w:rFonts/>
        </w:rPr>
      </w:pPr>
      <w:bookmarkStart w:name="Additional Resources" w:id="9"/>
      <w:bookmarkEnd w:id="9"/>
      <w:r>
        <w:rPr>
          <w:color w:val="333333"/>
          <w:spacing w:val="-3"/>
          <w:w w:val="97"/>
          <w:u w:val="single" w:color="333333"/>
          <w:i w:val="false"/>
          <w:smallCaps w:val="false"/>
          <w:strike w:val="false"/>
          <w:vertAlign w:val="baseline"/>
          <w:lang w:val="pt-BR"/>
          <w:rFonts/>
        </w:rPr>
        <w:t xml:space="preserve">Recursos adicionais</w:t>
      </w:r>
    </w:p>
    <w:p>
      <w:pPr>
        <w:pStyle w:val="BodyText"/>
        <w:spacing w:before="54"/>
        <w:rPr>
          <w:b/>
          <w:lang w:val="pt-BR"/>
          <w:rFonts/>
        </w:rPr>
      </w:pPr>
    </w:p>
    <w:p>
      <w:pPr>
        <w:pStyle w:val="ListParagraph"/>
        <w:numPr>
          <w:ilvl w:val="0"/>
          <w:numId w:val="1"/>
        </w:numPr>
        <w:tabs>
          <w:tab w:pos="830" w:val="left" w:leader="none"/>
        </w:tabs>
        <w:spacing w:line="237" w:lineRule="auto" w:before="0" w:after="0"/>
        <w:ind w:left="830" w:right="829" w:hanging="360"/>
        <w:jc w:val="left"/>
        <w:rPr>
          <w:rFonts w:ascii="Symbol" w:hAnsi="Symbol"/>
          <w:sz w:val="24"/>
          <w:lang w:val="pt-BR"/>
        </w:rPr>
      </w:pPr>
      <w:hyperlink r:id="rId18">
        <w:r>
          <w:rPr>
            <w:b w:val="true"/>
            <w:color w:val="2B71AE"/>
            <w:w w:val="85"/>
            <w:sz w:val="24"/>
            <w:u w:val="single" w:color="2B71AE"/>
            <w:i w:val="false"/>
            <w:smallCaps w:val="false"/>
            <w:strike w:val="false"/>
            <w:vertAlign w:val="baseline"/>
            <w:lang w:val="pt-BR"/>
            <w:rFonts/>
          </w:rPr>
          <w:t xml:space="preserve">Insights da CISA: Preparing for and Mitigating Foreign Influence Operations Targeting</w:t>
        </w:r>
      </w:hyperlink>
      <w:r>
        <w:rPr>
          <w:b w:val="true"/>
          <w:color w:val="2B71AE"/>
          <w:spacing w:val="40"/>
          <w:sz w:val="24"/>
          <w:u w:val="none"/>
          <w:i w:val="false"/>
          <w:smallCaps w:val="false"/>
          <w:strike w:val="false"/>
          <w:vertAlign w:val="baseline"/>
          <w:lang w:val="pt-BR"/>
          <w:rFonts/>
        </w:rPr>
        <w:t xml:space="preserve"> </w:t>
      </w:r>
      <w:hyperlink r:id="rId18">
        <w:r>
          <w:rPr>
            <w:b w:val="true"/>
            <w:color w:val="2B71AE"/>
            <w:spacing w:val="-2"/>
            <w:w w:val="90"/>
            <w:sz w:val="24"/>
            <w:u w:val="single" w:color="2B71AE"/>
            <w:i w:val="false"/>
            <w:smallCaps w:val="false"/>
            <w:strike w:val="false"/>
            <w:vertAlign w:val="baseline"/>
            <w:lang w:val="pt-BR"/>
            <w:rFonts/>
          </w:rPr>
          <w:t xml:space="preserve">Critical Infrastructure</w:t>
        </w:r>
      </w:hyperlink>
      <w:r>
        <w:rPr>
          <w:b w:val="true"/>
          <w:color w:val="333333"/>
          <w:spacing w:val="-2"/>
          <w:sz w:val="24"/>
          <w:u w:val="none"/>
          <w:i w:val="false"/>
          <w:smallCaps w:val="false"/>
          <w:strike w:val="false"/>
          <w:vertAlign w:val="baseline"/>
          <w:w w:val="90"/>
          <w:lang w:val="pt-BR"/>
          <w:rFonts/>
        </w:rPr>
        <w:t xml:space="preserve"> (pdf) (fevereiro de 2022)</w:t>
      </w:r>
    </w:p>
    <w:p>
      <w:pPr>
        <w:pStyle w:val="ListParagraph"/>
        <w:numPr>
          <w:ilvl w:val="0"/>
          <w:numId w:val="1"/>
        </w:numPr>
        <w:tabs>
          <w:tab w:pos="830" w:val="left" w:leader="none"/>
        </w:tabs>
        <w:spacing w:line="237" w:lineRule="auto" w:before="3" w:after="0"/>
        <w:ind w:left="830" w:right="707" w:hanging="360"/>
        <w:jc w:val="left"/>
        <w:rPr>
          <w:rFonts w:ascii="Symbol" w:hAnsi="Symbol"/>
          <w:sz w:val="24"/>
          <w:lang w:val="pt-BR"/>
        </w:rPr>
      </w:pPr>
      <w:hyperlink r:id="rId19">
        <w:r>
          <w:rPr>
            <w:b w:val="true"/>
            <w:color w:val="2B71AE"/>
            <w:w w:val="92"/>
            <w:sz w:val="24"/>
            <w:u w:val="single" w:color="2B71AE"/>
            <w:i w:val="false"/>
            <w:smallCaps w:val="false"/>
            <w:strike w:val="false"/>
            <w:vertAlign w:val="baseline"/>
            <w:lang w:val="pt-BR"/>
            <w:rFonts/>
          </w:rPr>
          <w:t xml:space="preserve">Insights da CISA: Implemente medidas de segurança cibernética agora para se proteger contra possíveis</w:t>
        </w:r>
      </w:hyperlink>
      <w:r>
        <w:rPr>
          <w:b w:val="true"/>
          <w:color w:val="2B71AE"/>
          <w:spacing w:val="40"/>
          <w:sz w:val="24"/>
          <w:u w:val="none"/>
          <w:i w:val="false"/>
          <w:smallCaps w:val="false"/>
          <w:strike w:val="false"/>
          <w:vertAlign w:val="baseline"/>
          <w:lang w:val="pt-BR"/>
          <w:rFonts/>
        </w:rPr>
        <w:t xml:space="preserve"> </w:t>
      </w:r>
      <w:hyperlink r:id="rId19">
        <w:r>
          <w:rPr>
            <w:b w:val="true"/>
            <w:color w:val="2B71AE"/>
            <w:w w:val="90"/>
            <w:sz w:val="24"/>
            <w:u w:val="single" w:color="2B71AE"/>
            <w:i w:val="false"/>
            <w:smallCaps w:val="false"/>
            <w:strike w:val="false"/>
            <w:vertAlign w:val="baseline"/>
            <w:spacing w:val="-3"/>
            <w:lang w:val="pt-BR"/>
            <w:rFonts/>
          </w:rPr>
          <w:t xml:space="preserve">ameaças críticas</w:t>
        </w:r>
      </w:hyperlink>
      <w:r>
        <w:rPr>
          <w:b w:val="true"/>
          <w:color w:val="333333"/>
          <w:spacing w:val="-4"/>
          <w:sz w:val="24"/>
          <w:u w:val="none"/>
          <w:i w:val="false"/>
          <w:smallCaps w:val="false"/>
          <w:strike w:val="false"/>
          <w:vertAlign w:val="baseline"/>
          <w:w w:val="90"/>
          <w:lang w:val="pt-BR"/>
          <w:rFonts/>
        </w:rPr>
        <w:t xml:space="preserve"> (pdf) (janeiro de 2022)</w:t>
      </w:r>
    </w:p>
    <w:p>
      <w:pPr>
        <w:pStyle w:val="ListParagraph"/>
        <w:numPr>
          <w:ilvl w:val="0"/>
          <w:numId w:val="1"/>
        </w:numPr>
        <w:tabs>
          <w:tab w:pos="830" w:val="left" w:leader="none"/>
        </w:tabs>
        <w:spacing w:line="237" w:lineRule="auto" w:before="2" w:after="0"/>
        <w:ind w:left="830" w:right="971" w:hanging="360"/>
        <w:jc w:val="left"/>
        <w:rPr>
          <w:rFonts w:ascii="Symbol" w:hAnsi="Symbol"/>
          <w:sz w:val="24"/>
          <w:lang w:val="pt-BR"/>
        </w:rPr>
      </w:pPr>
      <w:hyperlink r:id="rId13">
        <w:r>
          <w:rPr>
            <w:b w:val="true"/>
            <w:color w:val="2B71AE"/>
            <w:w w:val="92"/>
            <w:sz w:val="24"/>
            <w:u w:val="single" w:color="2B71AE"/>
            <w:i w:val="false"/>
            <w:smallCaps w:val="false"/>
            <w:strike w:val="false"/>
            <w:vertAlign w:val="baseline"/>
            <w:lang w:val="pt-BR"/>
            <w:rFonts/>
          </w:rPr>
          <w:t xml:space="preserve">Alerta (AA22-011A) Entendendo e mitigando</w:t>
        </w:r>
      </w:hyperlink>
      <w:r>
        <w:rPr>
          <w:b w:val="true"/>
          <w:color w:val="2B71AE"/>
          <w:spacing w:val="80"/>
          <w:sz w:val="24"/>
          <w:u w:val="none"/>
          <w:i w:val="false"/>
          <w:smallCaps w:val="false"/>
          <w:strike w:val="false"/>
          <w:vertAlign w:val="baseline"/>
          <w:lang w:val="pt-BR"/>
          <w:rFonts/>
        </w:rPr>
        <w:t xml:space="preserve"> </w:t>
      </w:r>
      <w:hyperlink r:id="rId13">
        <w:r>
          <w:rPr>
            <w:b w:val="true"/>
            <w:color w:val="2B71AE"/>
            <w:w w:val="90"/>
            <w:sz w:val="24"/>
            <w:u w:val="single" w:color="2B71AE"/>
            <w:i w:val="false"/>
            <w:smallCaps w:val="false"/>
            <w:strike w:val="false"/>
            <w:vertAlign w:val="baseline"/>
            <w:spacing w:val="-5"/>
            <w:lang w:val="pt-BR"/>
            <w:rFonts/>
          </w:rPr>
          <w:t xml:space="preserve">as ameaças</w:t>
        </w:r>
      </w:hyperlink>
      <w:r>
        <w:rPr>
          <w:b w:val="true"/>
          <w:color w:val="2B71AE"/>
          <w:spacing w:val="80"/>
          <w:sz w:val="24"/>
          <w:u w:val="none"/>
          <w:i w:val="false"/>
          <w:smallCaps w:val="false"/>
          <w:strike w:val="false"/>
          <w:vertAlign w:val="baseline"/>
          <w:lang w:val="pt-BR"/>
          <w:rFonts/>
        </w:rPr>
        <w:t xml:space="preserve">cibernéticas patrocinadas pelo Estado russo   à infraestrutura crítica dos EUA</w:t>
      </w:r>
      <w:r>
        <w:rPr>
          <w:b w:val="true"/>
          <w:color w:val="333333"/>
          <w:spacing w:val="-3"/>
          <w:sz w:val="24"/>
          <w:u w:val="none"/>
          <w:i w:val="false"/>
          <w:smallCaps w:val="false"/>
          <w:strike w:val="false"/>
          <w:vertAlign w:val="baseline"/>
          <w:w w:val="90"/>
          <w:lang w:val="pt-BR"/>
          <w:rFonts/>
        </w:rPr>
        <w:t xml:space="preserve"> (janeiro de 2022)</w:t>
      </w:r>
    </w:p>
    <w:p>
      <w:pPr>
        <w:pStyle w:val="ListParagraph"/>
        <w:numPr>
          <w:ilvl w:val="0"/>
          <w:numId w:val="1"/>
        </w:numPr>
        <w:tabs>
          <w:tab w:pos="830" w:val="left" w:leader="none"/>
        </w:tabs>
        <w:spacing w:line="237" w:lineRule="auto" w:before="2" w:after="0"/>
        <w:ind w:left="830" w:right="655" w:hanging="360"/>
        <w:jc w:val="left"/>
        <w:rPr>
          <w:rFonts w:ascii="Symbol" w:hAnsi="Symbol"/>
          <w:sz w:val="24"/>
          <w:lang w:val="pt-BR"/>
        </w:rPr>
      </w:pPr>
      <w:hyperlink r:id="rId20">
        <w:r>
          <w:rPr>
            <w:b w:val="true"/>
            <w:color w:val="2B71AE"/>
            <w:w w:val="85"/>
            <w:sz w:val="24"/>
            <w:u w:val="single" w:color="2B71AE"/>
            <w:i w:val="false"/>
            <w:smallCaps w:val="false"/>
            <w:strike w:val="false"/>
            <w:vertAlign w:val="baseline"/>
            <w:lang w:val="pt-BR"/>
            <w:rFonts/>
          </w:rPr>
          <w:t xml:space="preserve">Insights da CISA: Preparando-se e mitigando possíveis ameaças cibernéticas</w:t>
        </w:r>
      </w:hyperlink>
      <w:r>
        <w:rPr>
          <w:b w:val="true"/>
          <w:color w:val="333333"/>
          <w:w w:val="85"/>
          <w:sz w:val="24"/>
          <w:u w:val="none"/>
          <w:i w:val="false"/>
          <w:smallCaps w:val="false"/>
          <w:strike w:val="false"/>
          <w:vertAlign w:val="baseline"/>
          <w:lang w:val="pt-BR"/>
          <w:rFonts/>
        </w:rPr>
        <w:t xml:space="preserve"> (pdf) (dezembro</w:t>
      </w:r>
      <w:r>
        <w:rPr>
          <w:b w:val="true"/>
          <w:color w:val="333333"/>
          <w:w w:val="95"/>
          <w:sz w:val="24"/>
          <w:u w:val="none"/>
          <w:i w:val="false"/>
          <w:smallCaps w:val="false"/>
          <w:strike w:val="false"/>
          <w:vertAlign w:val="baseline"/>
          <w:spacing w:val="-4"/>
          <w:lang w:val="pt-BR"/>
          <w:rFonts/>
        </w:rPr>
        <w:t xml:space="preserve"> de 2021)</w:t>
      </w:r>
    </w:p>
    <w:p>
      <w:pPr>
        <w:pStyle w:val="ListParagraph"/>
        <w:numPr>
          <w:ilvl w:val="0"/>
          <w:numId w:val="1"/>
        </w:numPr>
        <w:tabs>
          <w:tab w:pos="830" w:val="left" w:leader="none"/>
        </w:tabs>
        <w:spacing w:line="237" w:lineRule="auto" w:before="2" w:after="0"/>
        <w:ind w:left="830" w:right="234" w:hanging="360"/>
        <w:jc w:val="left"/>
        <w:rPr>
          <w:rFonts w:ascii="Symbol" w:hAnsi="Symbol"/>
          <w:sz w:val="24"/>
          <w:lang w:val="pt-BR"/>
        </w:rPr>
      </w:pPr>
      <w:hyperlink r:id="rId21">
        <w:r>
          <w:rPr>
            <w:b w:val="true"/>
            <w:color w:val="2B71AE"/>
            <w:w w:val="91"/>
            <w:sz w:val="24"/>
            <w:u w:val="single" w:color="2B71AE"/>
            <w:i w:val="false"/>
            <w:smallCaps w:val="false"/>
            <w:strike w:val="false"/>
            <w:vertAlign w:val="baseline"/>
            <w:lang w:val="pt-BR"/>
            <w:rFonts/>
          </w:rPr>
          <w:t xml:space="preserve">Lembrete para que a infraestrutura crítica permaneça vigilante contra ameaças durante feriados e</w:t>
        </w:r>
      </w:hyperlink>
      <w:r>
        <w:rPr>
          <w:b w:val="true"/>
          <w:color w:val="2B71AE"/>
          <w:spacing w:val="80"/>
          <w:sz w:val="24"/>
          <w:u w:val="none"/>
          <w:i w:val="false"/>
          <w:smallCaps w:val="false"/>
          <w:strike w:val="false"/>
          <w:vertAlign w:val="baseline"/>
          <w:lang w:val="pt-BR"/>
          <w:rFonts/>
        </w:rPr>
        <w:t xml:space="preserve"> </w:t>
      </w:r>
      <w:hyperlink r:id="rId21">
        <w:r>
          <w:rPr>
            <w:b w:val="true"/>
            <w:color w:val="2B71AE"/>
            <w:spacing w:val="-8"/>
            <w:sz w:val="24"/>
            <w:u w:val="single" w:color="2B71AE"/>
            <w:i w:val="false"/>
            <w:smallCaps w:val="false"/>
            <w:strike w:val="false"/>
            <w:vertAlign w:val="baseline"/>
            <w:lang w:val="pt-BR"/>
            <w:rFonts/>
          </w:rPr>
          <w:t xml:space="preserve">fins de semana</w:t>
        </w:r>
      </w:hyperlink>
      <w:r>
        <w:rPr>
          <w:b w:val="true"/>
          <w:color w:val="333333"/>
          <w:spacing w:val="-11"/>
          <w:sz w:val="24"/>
          <w:u w:val="none"/>
          <w:i w:val="false"/>
          <w:smallCaps w:val="false"/>
          <w:strike w:val="false"/>
          <w:vertAlign w:val="baseline"/>
          <w:lang w:val="pt-BR"/>
          <w:rFonts/>
        </w:rPr>
        <w:t xml:space="preserve"> (novembro de 2021)</w:t>
      </w:r>
    </w:p>
    <w:p>
      <w:pPr>
        <w:pStyle w:val="ListParagraph"/>
        <w:numPr>
          <w:ilvl w:val="0"/>
          <w:numId w:val="1"/>
        </w:numPr>
        <w:tabs>
          <w:tab w:pos="830" w:val="left" w:leader="none"/>
        </w:tabs>
        <w:spacing w:line="240" w:lineRule="auto" w:before="1" w:after="0"/>
        <w:ind w:left="830" w:right="0" w:hanging="360"/>
        <w:jc w:val="left"/>
        <w:rPr>
          <w:rFonts w:ascii="Symbol" w:hAnsi="Symbol"/>
          <w:sz w:val="24"/>
          <w:lang w:val="pt-BR"/>
        </w:rPr>
      </w:pPr>
      <w:hyperlink r:id="rId22">
        <w:r>
          <w:rPr>
            <w:b w:val="true"/>
            <w:color w:val="2B71AE"/>
            <w:w w:val="94"/>
            <w:sz w:val="24"/>
            <w:u w:val="single" w:color="2B71AE"/>
            <w:i w:val="false"/>
            <w:smallCaps w:val="false"/>
            <w:strike w:val="false"/>
            <w:vertAlign w:val="baseline"/>
            <w:spacing w:val="-2"/>
            <w:lang w:val="pt-BR"/>
            <w:rFonts/>
          </w:rPr>
          <w:t xml:space="preserve">Kit de ferramentas de desinformação sobre a COVID-19</w:t>
        </w:r>
      </w:hyperlink>
    </w:p>
    <w:p>
      <w:pPr>
        <w:pStyle w:val="ListParagraph"/>
        <w:numPr>
          <w:ilvl w:val="0"/>
          <w:numId w:val="1"/>
        </w:numPr>
        <w:tabs>
          <w:tab w:pos="830" w:val="left" w:leader="none"/>
        </w:tabs>
        <w:spacing w:line="237" w:lineRule="auto" w:before="3" w:after="0"/>
        <w:ind w:left="830" w:right="112" w:hanging="360"/>
        <w:jc w:val="left"/>
        <w:rPr>
          <w:rFonts w:ascii="Symbol" w:hAnsi="Symbol"/>
          <w:sz w:val="24"/>
          <w:lang w:val="pt-BR"/>
        </w:rPr>
      </w:pPr>
      <w:hyperlink r:id="rId23">
        <w:r>
          <w:rPr>
            <w:b w:val="true"/>
            <w:color w:val="2B71AE"/>
            <w:spacing w:val="-2"/>
            <w:w w:val="90"/>
            <w:sz w:val="24"/>
            <w:u w:val="single" w:color="2B71AE"/>
            <w:i w:val="false"/>
            <w:smallCaps w:val="false"/>
            <w:strike w:val="false"/>
            <w:vertAlign w:val="baseline"/>
            <w:lang w:val="pt-BR"/>
            <w:rFonts/>
          </w:rPr>
          <w:t xml:space="preserve">Guia de planejamento e resposta a incidentes de desinformação, desinformação e malinformação (MDM) para</w:t>
        </w:r>
      </w:hyperlink>
      <w:r>
        <w:rPr>
          <w:b w:val="true"/>
          <w:color w:val="2B71AE"/>
          <w:spacing w:val="-2"/>
          <w:w w:val="90"/>
          <w:sz w:val="24"/>
          <w:u w:val="none"/>
          <w:i w:val="false"/>
          <w:smallCaps w:val="false"/>
          <w:strike w:val="false"/>
          <w:vertAlign w:val="baseline"/>
          <w:lang w:val="pt-BR"/>
          <w:rFonts/>
        </w:rPr>
        <w:t xml:space="preserve"> </w:t>
      </w:r>
      <w:hyperlink r:id="rId23">
        <w:r>
          <w:rPr>
            <w:b w:val="true"/>
            <w:color w:val="2B71AE"/>
            <w:spacing w:val="-2"/>
            <w:sz w:val="24"/>
            <w:u w:val="single" w:color="2B71AE"/>
            <w:i w:val="false"/>
            <w:smallCaps w:val="false"/>
            <w:strike w:val="false"/>
            <w:vertAlign w:val="baseline"/>
            <w:lang w:val="pt-BR"/>
            <w:rFonts/>
          </w:rPr>
          <w:t xml:space="preserve">autoridades</w:t>
        </w:r>
      </w:hyperlink>
      <w:r>
        <w:rPr>
          <w:b w:val="true"/>
          <w:color w:val="2B71AE"/>
          <w:spacing w:val="-2"/>
          <w:w w:val="90"/>
          <w:sz w:val="24"/>
          <w:u w:val="none"/>
          <w:i w:val="false"/>
          <w:smallCaps w:val="false"/>
          <w:strike w:val="false"/>
          <w:vertAlign w:val="baseline"/>
          <w:lang w:val="pt-BR"/>
          <w:rFonts/>
        </w:rPr>
        <w:t xml:space="preserve"> eleitorais  </w:t>
      </w:r>
    </w:p>
    <w:p>
      <w:pPr>
        <w:pStyle w:val="ListParagraph"/>
        <w:numPr>
          <w:ilvl w:val="0"/>
          <w:numId w:val="1"/>
        </w:numPr>
        <w:tabs>
          <w:tab w:pos="830" w:val="left" w:leader="none"/>
        </w:tabs>
        <w:spacing w:line="292" w:lineRule="exact" w:before="0" w:after="0"/>
        <w:ind w:left="830" w:right="0" w:hanging="360"/>
        <w:jc w:val="left"/>
        <w:rPr>
          <w:rFonts w:ascii="Symbol" w:hAnsi="Symbol"/>
          <w:sz w:val="24"/>
          <w:lang w:val="pt-BR"/>
        </w:rPr>
      </w:pPr>
      <w:hyperlink r:id="rId24">
        <w:r>
          <w:rPr>
            <w:b w:val="true"/>
            <w:color w:val="2B71AE"/>
            <w:w w:val="95"/>
            <w:sz w:val="24"/>
            <w:u w:val="single" w:color="2B71AE"/>
            <w:i w:val="false"/>
            <w:smallCaps w:val="false"/>
            <w:strike w:val="false"/>
            <w:vertAlign w:val="baseline"/>
            <w:spacing w:val="-1"/>
            <w:lang w:val="pt-BR"/>
            <w:rFonts/>
          </w:rPr>
          <w:t xml:space="preserve">Guia de inicialização da página de controle de rumores do MDM</w:t>
        </w:r>
      </w:hyperlink>
    </w:p>
    <w:p>
      <w:pPr>
        <w:pStyle w:val="ListParagraph"/>
        <w:numPr>
          <w:ilvl w:val="0"/>
          <w:numId w:val="1"/>
        </w:numPr>
        <w:tabs>
          <w:tab w:pos="830" w:val="left" w:leader="none"/>
        </w:tabs>
        <w:spacing w:line="292" w:lineRule="exact" w:before="0" w:after="0"/>
        <w:ind w:left="830" w:right="0" w:hanging="360"/>
        <w:jc w:val="left"/>
        <w:rPr>
          <w:rFonts w:ascii="Symbol" w:hAnsi="Symbol"/>
          <w:sz w:val="24"/>
          <w:lang w:val="pt-BR"/>
        </w:rPr>
      </w:pPr>
      <w:hyperlink r:id="rId25">
        <w:r>
          <w:rPr>
            <w:b w:val="true"/>
            <w:color w:val="2B71AE"/>
            <w:spacing w:val="-4"/>
            <w:w w:val="94"/>
            <w:sz w:val="24"/>
            <w:u w:val="single" w:color="2B71AE"/>
            <w:i w:val="false"/>
            <w:smallCaps w:val="false"/>
            <w:strike w:val="false"/>
            <w:vertAlign w:val="baseline"/>
            <w:lang w:val="pt-BR"/>
            <w:rFonts/>
          </w:rPr>
          <w:t xml:space="preserve">Visão geral e avisos sobre ameaças cibernéticas na Rússia</w:t>
        </w:r>
      </w:hyperlink>
    </w:p>
    <w:p>
      <w:pPr>
        <w:pStyle w:val="ListParagraph"/>
        <w:numPr>
          <w:ilvl w:val="0"/>
          <w:numId w:val="1"/>
        </w:numPr>
        <w:tabs>
          <w:tab w:pos="830" w:val="left" w:leader="none"/>
        </w:tabs>
        <w:spacing w:line="292" w:lineRule="exact" w:before="1" w:after="0"/>
        <w:ind w:left="830" w:right="0" w:hanging="360"/>
        <w:jc w:val="left"/>
        <w:rPr>
          <w:rFonts w:ascii="Symbol" w:hAnsi="Symbol"/>
          <w:sz w:val="24"/>
          <w:lang w:val="pt-BR"/>
        </w:rPr>
      </w:pPr>
      <w:hyperlink r:id="rId26">
        <w:r>
          <w:rPr>
            <w:b w:val="true"/>
            <w:color w:val="22527B"/>
            <w:w w:val="85"/>
            <w:sz w:val="24"/>
            <w:u w:val="single" w:color="22527B"/>
            <w:i w:val="false"/>
            <w:smallCaps w:val="false"/>
            <w:strike w:val="false"/>
            <w:vertAlign w:val="baseline"/>
            <w:lang w:val="pt-BR"/>
            <w:rFonts/>
          </w:rPr>
          <w:t xml:space="preserve">Ferramentas</w:t>
        </w:r>
        <w:r>
          <w:rPr>
            <w:b w:val="true"/>
            <w:color w:val="22527B"/>
            <w:w w:val="90"/>
            <w:sz w:val="24"/>
            <w:u w:val="single" w:color="22527B"/>
            <w:i w:val="false"/>
            <w:smallCaps w:val="false"/>
            <w:strike w:val="false"/>
            <w:vertAlign w:val="baseline"/>
            <w:spacing w:val="4"/>
            <w:lang w:val="pt-BR"/>
            <w:rFonts/>
          </w:rPr>
          <w:t xml:space="preserve"> e serviços</w:t>
        </w:r>
        <w:r>
          <w:rPr>
            <w:b w:val="true"/>
            <w:color w:val="22527B"/>
            <w:w w:val="85"/>
            <w:sz w:val="24"/>
            <w:u w:val="single" w:color="22527B"/>
            <w:i w:val="false"/>
            <w:smallCaps w:val="false"/>
            <w:strike w:val="false"/>
            <w:vertAlign w:val="baseline"/>
            <w:lang w:val="pt-BR"/>
            <w:rFonts/>
          </w:rPr>
          <w:t xml:space="preserve">gratuitos de segurança cibernética para os setores público</w:t>
        </w:r>
        <w:r>
          <w:rPr>
            <w:b w:val="true"/>
            <w:color w:val="22527B"/>
            <w:w w:val="90"/>
            <w:sz w:val="24"/>
            <w:u w:val="single" w:color="22527B"/>
            <w:i w:val="false"/>
            <w:smallCaps w:val="false"/>
            <w:strike w:val="false"/>
            <w:vertAlign w:val="baseline"/>
            <w:spacing w:val="5"/>
            <w:lang w:val="pt-BR"/>
            <w:rFonts/>
          </w:rPr>
          <w:t xml:space="preserve">e privado</w:t>
        </w:r>
      </w:hyperlink>
    </w:p>
    <w:p>
      <w:pPr>
        <w:pStyle w:val="ListParagraph"/>
        <w:numPr>
          <w:ilvl w:val="0"/>
          <w:numId w:val="1"/>
        </w:numPr>
        <w:tabs>
          <w:tab w:pos="830" w:val="left" w:leader="none"/>
        </w:tabs>
        <w:spacing w:line="292" w:lineRule="exact" w:before="0" w:after="0"/>
        <w:ind w:left="830" w:right="0" w:hanging="360"/>
        <w:jc w:val="left"/>
        <w:rPr>
          <w:rFonts w:ascii="Symbol" w:hAnsi="Symbol"/>
          <w:sz w:val="24"/>
          <w:lang w:val="pt-BR"/>
        </w:rPr>
      </w:pPr>
      <w:hyperlink r:id="rId27">
        <w:r>
          <w:rPr>
            <w:b w:val="true"/>
            <w:color w:val="2B71AE"/>
            <w:w w:val="94"/>
            <w:sz w:val="24"/>
            <w:u w:val="single" w:color="2B71AE"/>
            <w:i w:val="false"/>
            <w:smallCaps w:val="false"/>
            <w:strike w:val="false"/>
            <w:vertAlign w:val="baseline"/>
            <w:spacing w:val="-2"/>
            <w:lang w:val="pt-BR"/>
            <w:rFonts/>
          </w:rPr>
          <w:t xml:space="preserve">Guerra ao abacaxi</w:t>
        </w:r>
      </w:hyperlink>
    </w:p>
    <w:p>
      <w:pPr>
        <w:pStyle w:val="ListParagraph"/>
        <w:numPr>
          <w:ilvl w:val="0"/>
          <w:numId w:val="1"/>
        </w:numPr>
        <w:tabs>
          <w:tab w:pos="830" w:val="left" w:leader="none"/>
        </w:tabs>
        <w:spacing w:line="292" w:lineRule="exact" w:before="1" w:after="0"/>
        <w:ind w:left="830" w:right="0" w:hanging="360"/>
        <w:jc w:val="left"/>
        <w:rPr>
          <w:rFonts w:ascii="Symbol" w:hAnsi="Symbol"/>
          <w:sz w:val="24"/>
          <w:lang w:val="pt-BR"/>
        </w:rPr>
      </w:pPr>
      <w:bookmarkStart w:name=" External Resources" w:id="10"/>
      <w:bookmarkEnd w:id="10"/>
      <w:r>
        <w:rPr>
          <w:b w:val="true"/>
          <w:color w:val="333333"/>
          <w:w w:val="93"/>
          <w:sz w:val="24"/>
          <w:i w:val="false"/>
          <w:smallCaps w:val="false"/>
          <w:strike w:val="false"/>
          <w:u w:val="none"/>
          <w:vertAlign w:val="baseline"/>
          <w:spacing w:val="4"/>
          <w:lang w:val="pt-BR"/>
          <w:rFonts/>
        </w:rPr>
        <w:t xml:space="preserve">Recursos externos</w:t>
      </w:r>
    </w:p>
    <w:p>
      <w:pPr>
        <w:pStyle w:val="ListParagraph"/>
        <w:numPr>
          <w:ilvl w:val="0"/>
          <w:numId w:val="1"/>
        </w:numPr>
        <w:tabs>
          <w:tab w:pos="830" w:val="left" w:leader="none"/>
        </w:tabs>
        <w:spacing w:line="292" w:lineRule="exact" w:before="0" w:after="0"/>
        <w:ind w:left="830" w:right="0" w:hanging="360"/>
        <w:jc w:val="left"/>
        <w:rPr>
          <w:rFonts w:ascii="Symbol" w:hAnsi="Symbol"/>
          <w:sz w:val="24"/>
          <w:lang w:val="pt-BR"/>
        </w:rPr>
      </w:pPr>
      <w:hyperlink r:id="rId28">
        <w:r>
          <w:rPr>
            <w:b w:val="true"/>
            <w:color w:val="2B71AE"/>
            <w:w w:val="90"/>
            <w:sz w:val="24"/>
            <w:u w:val="single" w:color="2B71AE"/>
            <w:i w:val="false"/>
            <w:smallCaps w:val="false"/>
            <w:strike w:val="false"/>
            <w:vertAlign w:val="baseline"/>
            <w:spacing w:val="-5"/>
            <w:lang w:val="pt-BR"/>
            <w:rFonts/>
          </w:rPr>
          <w:t xml:space="preserve">Kit de ferramentas de combate à desinformação RESIST 2 - GCS (civilservice.gov.uk)</w:t>
        </w:r>
      </w:hyperlink>
    </w:p>
    <w:p>
      <w:pPr>
        <w:pStyle w:val="ListParagraph"/>
        <w:numPr>
          <w:ilvl w:val="0"/>
          <w:numId w:val="1"/>
        </w:numPr>
        <w:tabs>
          <w:tab w:pos="830" w:val="left" w:leader="none"/>
        </w:tabs>
        <w:spacing w:line="240" w:lineRule="auto" w:before="1" w:after="0"/>
        <w:ind w:left="830" w:right="0" w:hanging="360"/>
        <w:jc w:val="left"/>
        <w:rPr>
          <w:rFonts w:ascii="Symbol" w:hAnsi="Symbol"/>
          <w:sz w:val="24"/>
          <w:lang w:val="pt-BR"/>
        </w:rPr>
      </w:pPr>
      <w:hyperlink r:id="rId29">
        <w:r>
          <w:rPr>
            <w:b w:val="true"/>
            <w:color w:val="2B71AE"/>
            <w:w w:val="92"/>
            <w:sz w:val="24"/>
            <w:u w:val="single" w:color="2B71AE"/>
            <w:i w:val="false"/>
            <w:smallCaps w:val="false"/>
            <w:strike w:val="false"/>
            <w:vertAlign w:val="baseline"/>
            <w:spacing w:val="4"/>
            <w:lang w:val="pt-BR"/>
            <w:rFonts/>
          </w:rPr>
          <w:t xml:space="preserve">Agência Sueca de Contingências Civis (MSB) | Combate à desinformação</w:t>
        </w:r>
      </w:hyperlink>
    </w:p>
    <w:sectPr>
      <w:pgSz w:w="12240" w:h="15840"/>
      <w:pgMar w:top="780" w:bottom="280" w:left="880" w:right="8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ourier New">
    <w:altName w:val="Courier New"/>
    <w:charset w:val="0"/>
    <w:family w:val="modern"/>
    <w:pitch w:val="fixed"/>
  </w:font>
  <w:font w:name="Tahoma">
    <w:altName w:val="Tahoma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830" w:hanging="360"/>
      </w:pPr>
      <w:rPr>
        <w:rFonts w:hint="default" w:ascii="Symbol" w:hAnsi="Symbol" w:eastAsia="Symbol" w:cs="Symbol"/>
        <w:spacing w:val="0"/>
        <w:w w:val="100"/>
        <w:lang w:val="pt-BR" w:eastAsia="en-US" w:bidi="ar-SA"/>
      </w:rPr>
    </w:lvl>
    <w:lvl w:ilvl="1">
      <w:start w:val="0"/>
      <w:numFmt w:val="bullet"/>
      <w:lvlText w:val="o"/>
      <w:lvlJc w:val="left"/>
      <w:pPr>
        <w:ind w:left="1551" w:hanging="360"/>
      </w:pPr>
      <w:rPr>
        <w:rFonts w:hint="default" w:ascii="Courier New" w:hAnsi="Courier New" w:eastAsia="Courier New" w:cs="Courier New"/>
        <w:b w:val="0"/>
        <w:bCs w:val="0"/>
        <w:i w:val="0"/>
        <w:iCs w:val="0"/>
        <w:color w:val="333333"/>
        <w:spacing w:val="0"/>
        <w:w w:val="100"/>
        <w:sz w:val="20"/>
        <w:szCs w:val="20"/>
        <w:lang w:val="pt-BR" w:eastAsia="en-US" w:bidi="ar-SA"/>
      </w:rPr>
    </w:lvl>
    <w:lvl w:ilvl="2">
      <w:start w:val="0"/>
      <w:numFmt w:val="bullet"/>
      <w:lvlText w:val="•"/>
      <w:lvlJc w:val="left"/>
      <w:pPr>
        <w:ind w:left="2551" w:hanging="360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3542" w:hanging="360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4533" w:hanging="360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5524" w:hanging="360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6515" w:hanging="360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7506" w:hanging="360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8497" w:hanging="360"/>
      </w:pPr>
      <w:rPr>
        <w:rFonts w:hint="default"/>
        <w:lang w:val="pt-BR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pt-BR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  <w:lang w:val="pt-BR" w:eastAsia="en-US" w:bidi="ar-SA"/>
    </w:rPr>
  </w:style>
  <w:style w:styleId="BodyText" w:type="paragraph">
    <w:name w:val="Body Text"/>
    <w:basedOn w:val="Normal"/>
    <w:uiPriority w:val="1"/>
    <w:qFormat/>
    <w:pPr/>
    <w:rPr>
      <w:rFonts w:ascii="Tahoma" w:hAnsi="Tahoma" w:eastAsia="Tahoma" w:cs="Tahoma"/>
      <w:sz w:val="24"/>
      <w:szCs w:val="24"/>
      <w:lang w:val="pt-BR" w:eastAsia="en-US" w:bidi="ar-SA"/>
    </w:rPr>
  </w:style>
  <w:style w:styleId="Heading1" w:type="paragraph">
    <w:name w:val="Heading 1"/>
    <w:basedOn w:val="Normal"/>
    <w:uiPriority w:val="1"/>
    <w:qFormat/>
    <w:pPr>
      <w:ind w:left="110"/>
      <w:outlineLvl w:val="1"/>
    </w:pPr>
    <w:rPr>
      <w:rFonts w:ascii="Tahoma" w:hAnsi="Tahoma" w:eastAsia="Tahoma" w:cs="Tahoma"/>
      <w:b/>
      <w:bCs/>
      <w:sz w:val="28"/>
      <w:szCs w:val="28"/>
      <w:u w:val="single" w:color="000000"/>
      <w:lang w:val="pt-BR" w:eastAsia="en-US" w:bidi="ar-SA"/>
    </w:rPr>
  </w:style>
  <w:style w:styleId="ListParagraph" w:type="paragraph">
    <w:name w:val="List Paragraph"/>
    <w:basedOn w:val="Normal"/>
    <w:uiPriority w:val="1"/>
    <w:qFormat/>
    <w:pPr>
      <w:ind w:left="830" w:hanging="360"/>
    </w:pPr>
    <w:rPr>
      <w:rFonts w:ascii="Tahoma" w:hAnsi="Tahoma" w:eastAsia="Tahoma" w:cs="Tahoma"/>
      <w:lang w:val="pt-BR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BR" w:eastAsia="en-US" w:bidi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hyperlink" Target="https://www.cisa.gov/shields-up" TargetMode="External"/><Relationship Id="rId8" Type="http://schemas.openxmlformats.org/officeDocument/2006/relationships/hyperlink" Target="https://www.cisa.gov/known-exploited-vulnerabilities-catalog" TargetMode="External"/><Relationship Id="rId9" Type="http://schemas.openxmlformats.org/officeDocument/2006/relationships/hyperlink" Target="https://www.cisa.gov/uscert/ncas/analysis-reports/ar21-013a" TargetMode="External"/><Relationship Id="rId10" Type="http://schemas.openxmlformats.org/officeDocument/2006/relationships/hyperlink" Target="https://www.cisa.gov/cyber-hygiene-services" TargetMode="External"/><Relationship Id="rId11" Type="http://schemas.openxmlformats.org/officeDocument/2006/relationships/hyperlink" Target="https://support.workiva.com/hc/en-us/articles/360035646392-View-Organization-Activities" TargetMode="External"/><Relationship Id="rId12" Type="http://schemas.openxmlformats.org/officeDocument/2006/relationships/hyperlink" Target="https://support.workiva.com/hc/en-us/articles/360035639692-Prepare-for-the-Unexpected" TargetMode="External"/><Relationship Id="rId13" Type="http://schemas.openxmlformats.org/officeDocument/2006/relationships/hyperlink" Target="https://www.cisa.gov/uscert/ncas/alerts/aa22-011a" TargetMode="External"/><Relationship Id="rId14" Type="http://schemas.openxmlformats.org/officeDocument/2006/relationships/hyperlink" Target="https://www.cisa.gov/stopransomware" TargetMode="External"/><Relationship Id="rId15" Type="http://schemas.openxmlformats.org/officeDocument/2006/relationships/hyperlink" Target="https://www.cisa.gov/uscert/report" TargetMode="External"/><Relationship Id="rId16" Type="http://schemas.openxmlformats.org/officeDocument/2006/relationships/hyperlink" Target="https://www.fbi.gov/contact-us/field-offices" TargetMode="External"/><Relationship Id="rId17" Type="http://schemas.openxmlformats.org/officeDocument/2006/relationships/hyperlink" Target="mailto:CyWatch@fbi.gov" TargetMode="External"/><Relationship Id="rId18" Type="http://schemas.openxmlformats.org/officeDocument/2006/relationships/hyperlink" Target="https://www.cisa.gov/sites/default/files/publications/cisa_insight_mitigating_foreign_influence_508.pdf" TargetMode="External"/><Relationship Id="rId19" Type="http://schemas.openxmlformats.org/officeDocument/2006/relationships/hyperlink" Target="https://www.cisa.gov/sites/default/files/publications/CISA_Insights-Implement_Cybersecurity_Measures_Now_to_Protect_Against_Critical_Threats_508C.pdf" TargetMode="External"/><Relationship Id="rId20" Type="http://schemas.openxmlformats.org/officeDocument/2006/relationships/hyperlink" Target="https://www.cisa.gov/sites/default/files/publications/CISA_INSIGHTS-Preparing_For_and_Mitigating_Potential_Cyber_Threats-508C.pdf" TargetMode="External"/><Relationship Id="rId21" Type="http://schemas.openxmlformats.org/officeDocument/2006/relationships/hyperlink" Target="https://www.cisa.gov/uscert/ncas/current-activity/2021/11/22/reminder-critical-infrastructure-stay-vigilant-against-threats" TargetMode="External"/><Relationship Id="rId22" Type="http://schemas.openxmlformats.org/officeDocument/2006/relationships/hyperlink" Target="https://www.cisa.gov/publication/covid-19-disinformation-toolkit" TargetMode="External"/><Relationship Id="rId23" Type="http://schemas.openxmlformats.org/officeDocument/2006/relationships/hyperlink" Target="https://www.cisa.gov/sites/default/files/publications/mdm-incident-response-guide_508.pdf" TargetMode="External"/><Relationship Id="rId24" Type="http://schemas.openxmlformats.org/officeDocument/2006/relationships/hyperlink" Target="https://www.cisa.gov/sites/default/files/publications/rumor-control-startup-guide_508.pdf" TargetMode="External"/><Relationship Id="rId25" Type="http://schemas.openxmlformats.org/officeDocument/2006/relationships/hyperlink" Target="https://www.cisa.gov/uscert/russia" TargetMode="External"/><Relationship Id="rId26" Type="http://schemas.openxmlformats.org/officeDocument/2006/relationships/hyperlink" Target="https://www.cisa.gov/free-cybersecurity-tools-and-services" TargetMode="External"/><Relationship Id="rId27" Type="http://schemas.openxmlformats.org/officeDocument/2006/relationships/hyperlink" Target="https://www.cisa.gov/publication/war-pineapple" TargetMode="External"/><Relationship Id="rId28" Type="http://schemas.openxmlformats.org/officeDocument/2006/relationships/hyperlink" Target="https://gcs.civilservice.gov.uk/publications/resist-2-counter-disinformation-toolkit/" TargetMode="External"/><Relationship Id="rId29" Type="http://schemas.openxmlformats.org/officeDocument/2006/relationships/hyperlink" Target="https://counteringdisinformation.org/taxonomy/term/822" TargetMode="External"/><Relationship Id="rId30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Relações com investidores Comunicados à imprensa</dc:title>
  <dcterms:created xsi:type="dcterms:W3CDTF">2024-12-10T16:46:34Z</dcterms:created>
  <dcterms:modified xsi:type="dcterms:W3CDTF">2024-12-10T16:46:34Z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2022-03-02T00:00:00Z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2024-12-10T00:00:00Z</vt:filetime>
  </property>
</Properties>
</file>