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590" w:val="left" w:leader="none"/>
        </w:tabs>
        <w:spacing w:line="240" w:lineRule="auto"/>
        <w:ind w:left="110" w:right="0" w:firstLine="0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mc:AlternateContent>
          <mc:Choice Requires="wps">
            <w:drawing>
              <wp:inline distT="0" distB="0" distL="0" distR="0">
                <wp:extent cx="2033905" cy="549275"/>
                <wp:effectExtent l="0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33905" cy="549275"/>
                          <a:chExt cx="2033905" cy="5492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94916" y="542925"/>
                            <a:ext cx="387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350">
                                <a:moveTo>
                                  <a:pt x="38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8417" y="6350"/>
                                </a:lnTo>
                                <a:lnTo>
                                  <a:pt x="38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645" cy="5264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60.15pt;height:43.25pt;mso-position-horizontal-relative:char;mso-position-vertical-relative:line" id="docshapegroup1" coordorigin="0,0" coordsize="3203,865">
                <v:rect style="position:absolute;left:3141;top:855;width:61;height:10" id="docshape2" filled="true" fillcolor="#000000" stroked="false">
                  <v:fill type="solid"/>
                </v:rect>
                <v:shape style="position:absolute;left:0;top:0;width:3140;height:829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rFonts w:ascii="Times New Roman" w:hAnsi="Times New Roman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position w:val="4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drawing>
          <wp:inline distT="0" distB="0" distL="0" distR="0">
            <wp:extent cx="1871309" cy="466725"/>
            <wp:effectExtent l="0" t="0" r="0" b="0"/>
            <wp:docPr id="4" name="Image 4" descr="Shields U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Shields U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09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75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2 de março de 2022</w:t>
      </w:r>
    </w:p>
    <w:p>
      <w:pPr>
        <w:pStyle w:val="BodyText"/>
        <w:spacing w:before="115"/>
      </w:pPr>
    </w:p>
    <w:p>
      <w:pPr>
        <w:pStyle w:val="BodyText"/>
        <w:spacing w:line="287" w:lineRule="exact" w:before="1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Resposta da Workiva ao ataque da Rússia à Ucrânia: Tempos voláteis exigem maior atenção</w:t>
      </w:r>
    </w:p>
    <w:p>
      <w:pPr>
        <w:pStyle w:val="BodyText"/>
        <w:spacing w:line="287" w:lineRule="exact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preparação para a segurança cibernética.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A Workiva segue à risca as diretrizes publicadas pela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da U.S. Cybersecurity &amp; Infrastructure Security Agency (CISO) </w:t>
      </w:r>
      <w:hyperlink r:id="rId7">
        <w:r>
          <w:rPr>
            <w:color w:val="1154CC"/>
            <w:u w:val="single" w:color="1154CC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iniciativa SHIELDS UP</w:t>
        </w:r>
        <w:r>
          <w:rPr>
            <w:u w:val="none"/>
            <w:i w:val="0"/>
            <w:smallCaps w:val="0"/>
            <w:strike w:val="0"/>
            <w:color w:val="000000"/>
            <w:vertAlign w:val="baseline"/>
            <w:lang w:val="pt-BR"/>
            <w:rFonts/>
          </w:rPr>
          <w:t> e</w:t>
        </w:r>
      </w:hyperlink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se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comprometeu a compartilhar quaisquer incidentes ou atividades anômalas com as autoridades policiais competentes na(s) jurisdição(ões) onde a atividade ocorre.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spacing w:before="1"/>
        <w:rPr>
          <w:u w:val="none"/>
          <w:lang w:val="pt-BR"/>
          <w:rFonts/>
        </w:rPr>
      </w:pPr>
      <w:bookmarkStart w:name="Reduce the likelihood of a damaging cybe" w:id="1"/>
      <w:bookmarkEnd w:id="1"/>
      <w:r>
        <w:rPr>
          <w:color w:val="333333"/>
          <w:w w:val="92"/>
          <w:u w:val="single" w:color="333333"/>
          <w:i w:val="false"/>
          <w:smallCaps w:val="false"/>
          <w:strike w:val="false"/>
          <w:vertAlign w:val="baseline"/>
          <w:spacing w:val="3"/>
          <w:lang w:val="pt-BR"/>
          <w:rFonts/>
        </w:rPr>
        <w:t xml:space="preserve">Reduzir a probabilidade de uma intrusão cibernética prejudicial</w:t>
      </w:r>
    </w:p>
    <w:p>
      <w:pPr>
        <w:pStyle w:val="BodyText"/>
        <w:rPr>
          <w:b/>
          <w:lang w:val="pt-BR"/>
          <w:rFonts/>
        </w:rPr>
      </w:pPr>
    </w:p>
    <w:p>
      <w:pPr>
        <w:pStyle w:val="BodyText"/>
        <w:spacing w:before="27"/>
        <w:rPr>
          <w:b/>
          <w:lang w:val="pt-BR"/>
          <w:rFonts/>
        </w:rPr>
      </w:pPr>
    </w:p>
    <w:p>
      <w:pPr>
        <w:spacing w:before="0"/>
        <w:ind w:left="11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2"/>
          <w:sz w:val="24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Valide que todos os acessos remotos à rede da organização e os acessos privilegiados ou administrativos</w:t>
      </w:r>
    </w:p>
    <w:p>
      <w:pPr>
        <w:spacing w:before="1"/>
        <w:ind w:left="11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1"/>
          <w:sz w:val="24"/>
          <w:i w:val="false"/>
          <w:smallCaps w:val="false"/>
          <w:strike w:val="false"/>
          <w:u w:val="none"/>
          <w:vertAlign w:val="baseline"/>
          <w:spacing w:val="6"/>
          <w:lang w:val="pt-BR"/>
          <w:rFonts/>
        </w:rPr>
        <w:t xml:space="preserve">o acesso requer autenticação multifatorial.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2" w:lineRule="auto" w:before="159" w:after="0"/>
        <w:ind w:left="830" w:right="910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exige que todos os constituintes da Workiva usem o Single Sign On com Multi Factor Authentication.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A Workiva recomenda que nossos clientes implementem o Single Sign On.</w:t>
      </w:r>
    </w:p>
    <w:p>
      <w:pPr>
        <w:pStyle w:val="BodyText"/>
      </w:pPr>
    </w:p>
    <w:p>
      <w:pPr>
        <w:pStyle w:val="BodyText"/>
        <w:spacing w:before="18"/>
      </w:pPr>
    </w:p>
    <w:p>
      <w:pPr>
        <w:spacing w:before="0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Assegure-se de que o software esteja atualizado, priorizando as atualizações que tratam das</w:t>
      </w:r>
      <w:hyperlink r:id="rId8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exploradas conhecidas </w:t>
        </w:r>
      </w:hyperlink>
      <w:r>
        <w:rPr>
          <w:b/>
          <w:color w:val="2B71AE"/>
          <w:spacing w:val="80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hyperlink r:id="rId8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vulnerabilidades</w:t>
        </w:r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e identificadas pela CISA</w:t>
        </w:r>
        <w:r>
          <w:rPr>
            <w:b/>
            <w:color w:val="333333"/>
            <w:w w:val="90"/>
            <w:sz w:val="24"/>
            <w:u w:val="none"/>
            <w:i w:val="0"/>
            <w:smallCaps w:val="0"/>
            <w:strike w:val="0"/>
            <w:vertAlign w:val="baseline"/>
            <w:lang w:val="pt-BR"/>
            <w:rFonts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60" w:after="0"/>
        <w:ind w:left="830" w:right="149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 Workiva utiliza mecanismos automatizados de aplicação de patches para garantir que o software do host e do contêiner seja corrigido e atualizado.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As vulnerabilidades identificadas em bibliotecas de terceiros incluídas em nosso aplicativo são priorizadas por gravidade e corrigidas como parte de nosso SDLC.</w:t>
      </w: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11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2"/>
          <w:sz w:val="24"/>
          <w:i w:val="false"/>
          <w:smallCaps w:val="false"/>
          <w:strike w:val="false"/>
          <w:u w:val="none"/>
          <w:vertAlign w:val="baseline"/>
          <w:spacing w:val="2"/>
          <w:lang w:val="pt-BR"/>
          <w:rFonts/>
        </w:rPr>
        <w:t xml:space="preserve">Confirme se a equipe de TI da organização desativou todas as portas e protocolos que não são</w:t>
      </w:r>
    </w:p>
    <w:p>
      <w:pPr>
        <w:spacing w:before="1"/>
        <w:ind w:left="11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1"/>
          <w:sz w:val="24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essenciais para fins comerciais.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2" w:lineRule="auto" w:before="154" w:after="0"/>
        <w:ind w:left="830" w:right="128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estabeleceu e documentou nossas definições de configuração de acordo com as linhas de base do Center for Internet Security (CIS) e as listas de verificação compatíveis com o SCAP.</w:t>
      </w:r>
    </w:p>
    <w:p>
      <w:pPr>
        <w:pStyle w:val="BodyText"/>
        <w:spacing w:before="277"/>
      </w:pPr>
    </w:p>
    <w:p>
      <w:pPr>
        <w:spacing w:before="0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88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 a organização estiver usando serviços em nuvem, certifique-se de que o pessoal de TI tenha analisado e implementado </w:t>
      </w:r>
      <w:hyperlink r:id="rId9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1"/>
            <w:lang w:val="pt-BR"/>
            <w:rFonts/>
          </w:rPr>
          <w:t xml:space="preserve">os fortes controles descritos na orientação da CISA</w:t>
        </w:r>
        <w:r>
          <w:rPr>
            <w:b/>
            <w:color w:val="333333"/>
            <w:w w:val="90"/>
            <w:sz w:val="24"/>
            <w:u w:val="none"/>
            <w:i w:val="0"/>
            <w:smallCaps w:val="0"/>
            <w:strike w:val="0"/>
            <w:vertAlign w:val="baseline"/>
            <w:lang w:val="pt-BR"/>
            <w:rFonts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160" w:after="0"/>
        <w:ind w:left="830" w:right="0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1"/>
          <w:lang w:val="pt-BR"/>
          <w:rFonts/>
        </w:rPr>
        <w:t xml:space="preserve">A Workiva obteve o FedRAMP Moderate e a ISO 27001:2013.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0" w:after="0"/>
        <w:ind w:left="830" w:right="209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Todo o acesso à Workiva é baseado em privilégios mínimos e requer o uso de IDs exclusivos com adesão às nossas políticas de senha, incluindo a exigência de logon único e autenticação de dois fatores.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 acesso deve ser aprovado pelo gerente funcional e pelo sistema</w:t>
      </w:r>
    </w:p>
    <w:p>
      <w:pPr>
        <w:spacing w:after="0" w:line="240" w:lineRule="auto"/>
        <w:jc w:val="left"/>
        <w:rPr>
          <w:rFonts w:ascii="Symbol" w:hAnsi="Symbol"/>
          <w:sz w:val="24"/>
          <w:lang w:val="pt-BR"/>
        </w:rPr>
        <w:sectPr>
          <w:type w:val="continuous"/>
          <w:pgSz w:w="12240" w:h="15840"/>
          <w:pgMar w:top="1200" w:bottom="280" w:left="880" w:right="880"/>
        </w:sectPr>
      </w:pPr>
    </w:p>
    <w:p>
      <w:pPr>
        <w:pStyle w:val="BodyText"/>
        <w:spacing w:line="287" w:lineRule="exact" w:before="75"/>
        <w:ind w:left="83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proprietário, conforme gerenciado por meio de nosso sistema de tíquetes.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Todas as atividades dentro da rede da Workiva e</w:t>
      </w:r>
    </w:p>
    <w:p>
      <w:pPr>
        <w:pStyle w:val="BodyText"/>
        <w:spacing w:line="287" w:lineRule="exact"/>
        <w:ind w:left="83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são registrados em nossa ferramenta SIEM centralizada.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0" w:after="0"/>
        <w:ind w:left="830" w:right="536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A Workiva utiliza filtragem de spam de e-mail e bloqueia qualquer encaminhamento automático de e-mails. Além disso, os dispositivos e servidores executam ferramentas antimalware.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Os funcionários passam por avaliações mensais de engenharia social.</w:t>
      </w:r>
    </w:p>
    <w:p>
      <w:pPr>
        <w:pStyle w:val="BodyText"/>
        <w:spacing w:before="288"/>
      </w:pPr>
    </w:p>
    <w:p>
      <w:pPr>
        <w:spacing w:line="235" w:lineRule="auto" w:before="0"/>
        <w:ind w:left="110" w:right="0" w:firstLine="0"/>
        <w:jc w:val="left"/>
        <w:rPr>
          <w:sz w:val="24"/>
          <w:lang w:val="pt-BR"/>
          <w:rFonts/>
        </w:rPr>
      </w:pPr>
      <w:r>
        <w:rPr>
          <w:b w:val="true"/>
          <w:color w:val="333333"/>
          <w:w w:val="85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Inscreva-se nos </w:t>
      </w:r>
      <w:hyperlink r:id="rId10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serviços gratuitos de higiene cibernética da CISA</w:t>
        </w:r>
      </w:hyperlink>
      <w:r>
        <w:rPr>
          <w:b w:val="true"/>
          <w:color w:val="333333"/>
          <w:w w:val="85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, incluindo a verificação de vulnerabilidades, para ajudar a reduzir a</w:t>
      </w:r>
      <w:r>
        <w:rPr>
          <w:b w:val="true"/>
          <w:color w:val="333333"/>
          <w:sz w:val="24"/>
          <w:i w:val="false"/>
          <w:smallCaps w:val="false"/>
          <w:strike w:val="false"/>
          <w:u w:val="none"/>
          <w:vertAlign w:val="baseline"/>
          <w:spacing w:val="-8"/>
          <w:lang w:val="pt-BR"/>
          <w:rFonts/>
        </w:rPr>
        <w:t xml:space="preserve"> exposição a ameaças</w:t>
      </w:r>
      <w:r>
        <w:rPr>
          <w:color w:val="333333"/>
          <w:spacing w:val="-6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>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1" w:after="0"/>
        <w:ind w:left="830" w:right="160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Embora a Workiva não esteja qualificada para os serviços da CISA (não é um provedor de infraestrutura crítica), a Workiva é FedRAMP Moderate.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Além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disso, a Workiva fornece aos clientes relatórios de terceiros feitos por provedores autorizados pelo PCI/CREST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para realizar varreduras e testes externos semestralmente, além de nossas varreduras e testes internos.</w:t>
      </w:r>
    </w:p>
    <w:p>
      <w:pPr>
        <w:pStyle w:val="BodyText"/>
        <w:spacing w:before="7"/>
      </w:pPr>
    </w:p>
    <w:p>
      <w:pPr>
        <w:pStyle w:val="Heading1"/>
        <w:rPr>
          <w:u w:val="none"/>
          <w:lang w:val="pt-BR"/>
          <w:rFonts/>
        </w:rPr>
      </w:pPr>
      <w:bookmarkStart w:name="Take steps to quickly detect a potential" w:id="2"/>
      <w:bookmarkEnd w:id="2"/>
      <w:r>
        <w:rPr>
          <w:color w:val="333333"/>
          <w:w w:val="92"/>
          <w:u w:val="single" w:color="333333"/>
          <w:i w:val="false"/>
          <w:smallCaps w:val="false"/>
          <w:strike w:val="false"/>
          <w:vertAlign w:val="baseline"/>
          <w:spacing w:val="5"/>
          <w:lang w:val="pt-BR"/>
          <w:rFonts/>
        </w:rPr>
        <w:t xml:space="preserve">Tome medidas para detectar rapidamente uma possível intrusão</w:t>
      </w:r>
    </w:p>
    <w:p>
      <w:pPr>
        <w:pStyle w:val="BodyText"/>
        <w:spacing w:before="13"/>
        <w:rPr>
          <w:b/>
          <w:lang w:val="pt-BR"/>
          <w:rFonts/>
        </w:rPr>
      </w:pPr>
    </w:p>
    <w:p>
      <w:pPr>
        <w:spacing w:before="0"/>
        <w:ind w:left="110" w:right="0" w:firstLine="0"/>
        <w:jc w:val="left"/>
        <w:rPr>
          <w:b/>
          <w:sz w:val="24"/>
          <w:lang w:val="pt-BR"/>
          <w:rFonts/>
        </w:rPr>
      </w:pPr>
      <w:bookmarkStart w:name="Ensure that cybersecurity/IT personnel a" w:id="3"/>
      <w:bookmarkEnd w:id="3"/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Certifique-se de que a equipe de segurança cibernética/TI esteja concentrada em identificar e avaliar rapidamente qualquer comportamento inesperado ou incomum da rede.</w:t>
      </w:r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Habilite o registro em log para investigar melhor os problemas ou</w:t>
      </w:r>
      <w:r>
        <w:rPr>
          <w:b w:val="true"/>
          <w:color w:val="333333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eventos.</w:t>
      </w:r>
    </w:p>
    <w:p>
      <w:pPr>
        <w:pStyle w:val="BodyText"/>
        <w:spacing w:before="8"/>
        <w:rPr>
          <w:b/>
          <w:lang w:val="pt-BR"/>
          <w:rFonts/>
        </w:rPr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0" w:after="0"/>
        <w:ind w:left="830" w:right="122" w:hanging="360"/>
        <w:jc w:val="left"/>
        <w:rPr>
          <w:rFonts w:ascii="Symbol" w:hAnsi="Symbol"/>
          <w:sz w:val="24"/>
          <w:lang w:val="pt-BR"/>
        </w:rPr>
      </w:pPr>
      <w:bookmarkStart w:name=" Workiva utilizes our security informat" w:id="4"/>
      <w:bookmarkEnd w:id="4"/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Workiva utiliza nosso sistema de gerenciamento de eventos e informações de segurança (SIEM) para fornecer monitoramento contínuo e análise de registros.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equipe de segurança da informação da Workiva analisa os logs e alertas quanto a considerações de desempenho e segurança, incluindo logs relacionados a autenticação, endpoint, aplicativo da Web e muito mais.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Os logs são armazenados em um sistema central de logs, transmitidos por um canal criptografado, criptografados em repouso e segregados de outros sistemas e usuários.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Os registros não podem ser modificados depois de gravados e a exclusão do registro é monitorada.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As informações de registro coletadas incluem informações como hora, tamanho dos dados, latência de resposta, tipo de transação, método de serviço da Web invocado, informações de usuário/conta/serviço, nome do host/ip, ação e/ou recursos envolvidos.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Os registros são continuamente monitorados quanto a anormalidades e investigados de acordo com nossos padrões e políticas.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Nossos alertas são continuamente revisados quanto à precisão, cobertura e eficácia, e os manuais são desenvolvidos e mantidos para padronizar e melhorar a resposta.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Esses dados são usados para realizar investigações de eventos e incidentes de segurança relatados.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0" w:after="0"/>
        <w:ind w:left="830" w:right="1203" w:hanging="360"/>
        <w:jc w:val="left"/>
        <w:rPr>
          <w:rFonts w:ascii="Symbol" w:hAnsi="Symbol"/>
          <w:sz w:val="24"/>
          <w:lang w:val="pt-BR"/>
        </w:rPr>
      </w:pPr>
      <w:bookmarkStart w:name=" Activities within a customer organizat" w:id="5"/>
      <w:bookmarkEnd w:id="5"/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Mais informações podem ser encontradas em nosso site de ajuda: </w:t>
      </w:r>
      <w:hyperlink r:id="rId11">
        <w:r>
          <w:rPr>
            <w:color w:val="1154CC"/>
            <w:sz w:val="24"/>
            <w:u w:val="single" w:color="1154CC"/>
            <w:i w:val="false"/>
            <w:smallCaps w:val="false"/>
            <w:strike w:val="false"/>
            <w:vertAlign w:val="baseline"/>
            <w:lang w:val="pt-BR"/>
            <w:rFonts/>
          </w:rPr>
          <w:t xml:space="preserve">https://support.workiva.com/hc/en- </w:t>
        </w:r>
      </w:hyperlink>
      <w:r>
        <w:rPr>
          <w:color w:val="1154CC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hyperlink r:id="rId11">
        <w:r>
          <w:rPr>
            <w:color w:val="1154CC"/>
            <w:spacing w:val="-2"/>
            <w:sz w:val="24"/>
            <w:u w:val="single" w:color="1154CC"/>
            <w:i w:val="false"/>
            <w:smallCaps w:val="false"/>
            <w:strike w:val="false"/>
            <w:vertAlign w:val="baseline"/>
            <w:lang w:val="pt-BR"/>
            <w:rFonts/>
          </w:rPr>
          <w:t xml:space="preserve">us/articles/360035646392-View-Organization-Activities</w:t>
        </w:r>
      </w:hyperlink>
    </w:p>
    <w:p>
      <w:pPr>
        <w:pStyle w:val="BodyText"/>
      </w:pPr>
    </w:p>
    <w:p>
      <w:pPr>
        <w:pStyle w:val="BodyText"/>
        <w:spacing w:before="24"/>
      </w:pPr>
    </w:p>
    <w:p>
      <w:pPr>
        <w:spacing w:before="0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Confirme se toda a rede da organização está protegida por software antivírus/antimalware</w:t>
      </w:r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e se as assinaturas dessas ferramentas estão atualizadas.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2" w:lineRule="auto" w:before="155" w:after="0"/>
        <w:ind w:left="830" w:right="687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Os dispositivos e servidores da Workiva são protegidos por software antimalware com proteção em tempo real e atualizações ativadas.</w:t>
      </w:r>
    </w:p>
    <w:p>
      <w:pPr>
        <w:spacing w:after="0" w:line="242" w:lineRule="auto"/>
        <w:jc w:val="left"/>
        <w:rPr>
          <w:rFonts w:ascii="Symbol" w:hAnsi="Symbol"/>
          <w:sz w:val="24"/>
          <w:lang w:val="pt-BR"/>
        </w:rPr>
        <w:sectPr>
          <w:pgSz w:w="12240" w:h="15840"/>
          <w:pgMar w:top="780" w:bottom="280" w:left="880" w:right="880"/>
        </w:sectPr>
      </w:pPr>
    </w:p>
    <w:p>
      <w:pPr>
        <w:spacing w:before="75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85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 estiver trabalhando com organizações ucranianas, tome cuidado extra para monitorar, inspecionar e isolar o tráfego</w:t>
      </w:r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dessas organizações; analise atentamente os controles de acesso a esse tráfego.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55" w:after="0"/>
        <w:ind w:left="830" w:right="0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Workiva não tem nenhuma operação na Ucrânia.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</w:p>
    <w:p>
      <w:pPr>
        <w:pStyle w:val="Heading1"/>
        <w:rPr>
          <w:u w:val="none"/>
          <w:lang w:val="pt-BR"/>
          <w:rFonts/>
        </w:rPr>
      </w:pPr>
      <w:bookmarkStart w:name="Ensure that the organization is prepared" w:id="6"/>
      <w:bookmarkEnd w:id="6"/>
      <w:r>
        <w:rPr>
          <w:color w:val="333333"/>
          <w:w w:val="92"/>
          <w:u w:val="single" w:color="333333"/>
          <w:i w:val="false"/>
          <w:smallCaps w:val="false"/>
          <w:strike w:val="false"/>
          <w:vertAlign w:val="baseline"/>
          <w:spacing w:val="2"/>
          <w:lang w:val="pt-BR"/>
          <w:rFonts/>
        </w:rPr>
        <w:t xml:space="preserve">Assegure-se de que a organização esteja preparada para reagir em caso de invasão.</w:t>
      </w:r>
    </w:p>
    <w:p>
      <w:pPr>
        <w:spacing w:line="237" w:lineRule="auto" w:before="165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91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Designe uma equipe de resposta a crises com os principais pontos de contato para uma suspeita de incidente de segurança cibernética e funções/responsabilidades dentro da organização, incluindo tecnologia, comunicações, jurídico e continuidade dos negócios.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61" w:after="0"/>
        <w:ind w:left="830" w:right="290" w:hanging="360"/>
        <w:jc w:val="left"/>
        <w:rPr>
          <w:rFonts w:ascii="Symbol" w:hAnsi="Symbol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 equipe de Segurança da Informação da Workiva reconhece a necessidade de estar alerta aos riscos externos e está atenta à procura de possíveis problemas.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Também empregamos o monitoramento ativo das principais informações usadas para identificar ameaças.</w:t>
      </w:r>
    </w:p>
    <w:p>
      <w:pPr>
        <w:pStyle w:val="BodyText"/>
        <w:spacing w:line="287" w:lineRule="exact"/>
        <w:ind w:left="830"/>
      </w:pPr>
      <w:r>
        <w:rPr>
          <w:color w:val="33333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mantém um plano de resposta a incidentes que</w:t>
      </w:r>
      <w:r>
        <w:rPr>
          <w:color w:val="33333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aborda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93" w:lineRule="exact" w:before="156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Identificação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88" w:lineRule="exact" w:before="0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Documentação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90" w:lineRule="exact" w:before="0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Isolamento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88" w:lineRule="exact" w:before="0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Resolução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88" w:lineRule="exact" w:before="0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Comunicação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95" w:lineRule="exact" w:before="0" w:after="0"/>
        <w:ind w:left="1550" w:right="0" w:hanging="359"/>
        <w:jc w:val="left"/>
        <w:rPr>
          <w:sz w:val="24"/>
          <w:lang w:val="pt-BR"/>
          <w:rFonts/>
        </w:rPr>
      </w:pPr>
      <w:r>
        <w:rPr>
          <w:color w:val="333333"/>
          <w:spacing w:val="-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Escalonamento</w:t>
      </w: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sz w:val="24"/>
          <w:i w:val="false"/>
          <w:smallCaps w:val="false"/>
          <w:strike w:val="false"/>
          <w:u w:val="none"/>
          <w:vertAlign w:val="baseline"/>
          <w:w w:val="92"/>
          <w:lang w:val="pt-BR"/>
          <w:rFonts/>
        </w:rPr>
        <w:t xml:space="preserve">Assegurar a disponibilidade do pessoal-chave; identificar meios de fornecer suporte de surto para responder a</w:t>
      </w:r>
      <w:r>
        <w:rPr>
          <w:b w:val="true"/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um incidente.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163" w:after="0"/>
        <w:ind w:left="830" w:right="170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 Workiva mantém uma equipe de suporte 24 horas por dia, 7 dias por semana, com paginação de plantão para as equipes relevantes, que é testada anualmente como parte de nossos testes de continuidade de negócios e recuperação de desastres.</w:t>
      </w:r>
    </w:p>
    <w:p>
      <w:pPr>
        <w:pStyle w:val="BodyText"/>
      </w:pPr>
    </w:p>
    <w:p>
      <w:pPr>
        <w:pStyle w:val="BodyText"/>
        <w:spacing w:before="26"/>
      </w:pPr>
    </w:p>
    <w:p>
      <w:pPr>
        <w:spacing w:before="0"/>
        <w:ind w:left="110" w:right="300" w:firstLine="0"/>
        <w:jc w:val="left"/>
        <w:rPr>
          <w:b/>
          <w:sz w:val="24"/>
          <w:lang w:val="pt-BR"/>
          <w:rFonts/>
        </w:rPr>
      </w:pPr>
      <w:r>
        <w:rPr>
          <w:b w:val="true"/>
          <w:color w:val="333333"/>
          <w:w w:val="85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Realize um exercício de mesa para garantir que todos os participantes entendam suas funções durante um</w:t>
      </w:r>
      <w:r>
        <w:rPr>
          <w:b w:val="true"/>
          <w:color w:val="333333"/>
          <w:w w:val="95"/>
          <w:sz w:val="24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incidente.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55" w:after="0"/>
        <w:ind w:left="830" w:right="201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A Workiva realiza exercícios de mesa trimestrais, além de testes anuais de continuidade de negócios e recuperação de desastres para garantir que as equipes estejam bem versadas nos planos da Workiva e conheçam suas respectivas funções.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1"/>
        <w:rPr>
          <w:u w:val="none"/>
          <w:lang w:val="pt-BR"/>
          <w:rFonts/>
        </w:rPr>
      </w:pPr>
      <w:bookmarkStart w:name="Maximize the organization's resilience t" w:id="7"/>
      <w:bookmarkEnd w:id="7"/>
      <w:r>
        <w:rPr>
          <w:color w:val="333333"/>
          <w:w w:val="85"/>
          <w:u w:val="single" w:color="333333"/>
          <w:i w:val="false"/>
          <w:smallCaps w:val="false"/>
          <w:strike w:val="false"/>
          <w:vertAlign w:val="baseline"/>
          <w:lang w:val="pt-BR"/>
          <w:rFonts/>
        </w:rPr>
        <w:t xml:space="preserve">Maximizar a resistência da organização</w:t>
      </w:r>
      <w:r>
        <w:rPr>
          <w:color w:val="333333"/>
          <w:w w:val="92"/>
          <w:u w:val="single" w:color="333333"/>
          <w:i w:val="false"/>
          <w:smallCaps w:val="false"/>
          <w:strike w:val="false"/>
          <w:vertAlign w:val="baseline"/>
          <w:spacing w:val="5"/>
          <w:lang w:val="pt-BR"/>
          <w:rFonts/>
        </w:rPr>
        <w:t xml:space="preserve"> a um incidente cibernético destrutivo</w:t>
      </w:r>
    </w:p>
    <w:p>
      <w:pPr>
        <w:pStyle w:val="BodyText"/>
        <w:spacing w:before="13"/>
        <w:rPr>
          <w:b/>
          <w:lang w:val="pt-BR"/>
          <w:rFonts/>
        </w:rPr>
      </w:pPr>
    </w:p>
    <w:p>
      <w:pPr>
        <w:spacing w:before="0"/>
        <w:ind w:left="110" w:right="0" w:firstLine="0"/>
        <w:jc w:val="left"/>
        <w:rPr>
          <w:b/>
          <w:sz w:val="24"/>
          <w:lang w:val="pt-BR"/>
          <w:rFonts/>
        </w:rPr>
      </w:pPr>
      <w:bookmarkStart w:name="Test backup procedures to ensure that cr" w:id="8"/>
      <w:bookmarkEnd w:id="8"/>
      <w:r>
        <w:rPr>
          <w:b w:val="true"/>
          <w:color w:val="333333"/>
          <w:w w:val="9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Teste os procedimentos de backup para garantir que os dados essenciais possam ser restaurados rapidamente se a organização for</w:t>
      </w:r>
      <w:r>
        <w:rPr>
          <w:b w:val="true"/>
          <w:color w:val="333333"/>
          <w:w w:val="91"/>
          <w:sz w:val="24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afetada por ransomware ou por um ataque cibernético destrutivo; certifique-se de que os backups estejam isolados das conexões de rede.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55" w:after="0"/>
        <w:ind w:left="830" w:right="564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 Workiva utiliza backup redundante de dados para oferecer recuperação pontual.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Além disso, a Workiva permite que os clientes administrem suas contas por conta própria.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 qualquer momento, um cliente pode salvar/exportar um documento ou excluir um documento.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 Workiva apóia a economia</w:t>
      </w:r>
    </w:p>
    <w:p>
      <w:pPr>
        <w:spacing w:after="0" w:line="240" w:lineRule="auto"/>
        <w:jc w:val="left"/>
        <w:rPr>
          <w:rFonts w:ascii="Symbol" w:hAnsi="Symbol"/>
          <w:sz w:val="24"/>
          <w:lang w:val="pt-BR"/>
        </w:rPr>
        <w:sectPr>
          <w:pgSz w:w="12240" w:h="15840"/>
          <w:pgMar w:top="780" w:bottom="280" w:left="880" w:right="880"/>
        </w:sectPr>
      </w:pPr>
    </w:p>
    <w:p>
      <w:pPr>
        <w:pStyle w:val="BodyText"/>
        <w:spacing w:line="235" w:lineRule="auto" w:before="80"/>
        <w:ind w:left="83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arquivos nos formatos DOCX (MS Word), XLSX (MS Excel) ou PDF (Adobe) para arquivamento em seus próprios sistemas.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4" w:after="0"/>
        <w:ind w:left="830" w:right="119" w:hanging="360"/>
        <w:jc w:val="left"/>
        <w:rPr>
          <w:rFonts w:ascii="Symbol" w:hAnsi="Symbol"/>
          <w:sz w:val="24"/>
          <w:lang w:val="pt-BR"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Ferramentas do cliente: </w:t>
      </w:r>
      <w:hyperlink r:id="rId12">
        <w:r>
          <w:rPr>
            <w:color w:val="1154CC"/>
            <w:sz w:val="24"/>
            <w:u w:val="single" w:color="1154CC"/>
            <w:i w:val="false"/>
            <w:smallCaps w:val="false"/>
            <w:strike w:val="false"/>
            <w:vertAlign w:val="baseline"/>
            <w:lang w:val="pt-BR"/>
            <w:rFonts/>
          </w:rPr>
          <w:t xml:space="preserve">https://support.workiva.com/hc/en-us/articles/360035639692-Prepare- </w:t>
        </w:r>
      </w:hyperlink>
      <w:r>
        <w:rPr>
          <w:color w:val="1154CC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hyperlink r:id="rId12">
        <w:r>
          <w:rPr>
            <w:color w:val="1154CC"/>
            <w:spacing w:val="-2"/>
            <w:sz w:val="24"/>
            <w:u w:val="single" w:color="1154CC"/>
            <w:i w:val="false"/>
            <w:smallCaps w:val="false"/>
            <w:strike w:val="false"/>
            <w:vertAlign w:val="baseline"/>
            <w:lang w:val="pt-BR"/>
            <w:rFonts/>
          </w:rPr>
          <w:t xml:space="preserve">for-the-Unexpected</w:t>
        </w:r>
      </w:hyperlink>
    </w:p>
    <w:p>
      <w:pPr>
        <w:pStyle w:val="BodyText"/>
        <w:spacing w:before="156"/>
      </w:pPr>
    </w:p>
    <w:p>
      <w:pPr>
        <w:spacing w:before="0"/>
        <w:ind w:left="110" w:right="302" w:firstLine="0"/>
        <w:jc w:val="both"/>
        <w:rPr>
          <w:b/>
          <w:sz w:val="24"/>
          <w:lang w:val="pt-BR"/>
          <w:rFonts/>
        </w:rPr>
      </w:pPr>
      <w:r>
        <w:rPr>
          <w:b w:val="true"/>
          <w:color w:val="333333"/>
          <w:w w:val="92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 estiver usando sistemas de controle industrial ou tecnologia operacional, realize um teste de controles manuais</w:t>
      </w:r>
      <w:r>
        <w:rPr>
          <w:b w:val="true"/>
          <w:color w:val="333333"/>
          <w:w w:val="90"/>
          <w:sz w:val="2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para garantir que as funções essenciais permaneçam operáveis se a rede da organização não estiver disponível ou não for confiável.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60" w:after="0"/>
        <w:ind w:left="830" w:right="0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 Workiva não utiliza sistemas de controle industrial.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57" w:after="0"/>
        <w:ind w:left="830" w:right="321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Ao implementar as etapas acima, todas as organizações podem fazer progressos de curto prazo para melhorar a segurança cibernética e a resiliência.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 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6"/>
          <w:lang w:val="pt-BR"/>
          <w:rFonts/>
        </w:rPr>
        <w:t xml:space="preserve">Além disso, embora os incidentes cibernéticos recentes não tenham sido atribuídos a agentes específicos, a CISA recomenda que o pessoal de segurança cibernética/TI de todas as organizações analise o documento </w:t>
      </w:r>
      <w:hyperlink r:id="rId13">
        <w:r>
          <w:rPr>
            <w:color w:val="2B71AE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Understanding and Mitigating Russian State-Sponsored Cyber </w:t>
        </w:r>
      </w:hyperlink>
      <w:r>
        <w:rPr>
          <w:color w:val="2B71AE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hyperlink r:id="rId13">
        <w:r>
          <w:rPr>
            <w:color w:val="2B71AE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Threats to U.S. Critical Infrastructure</w:t>
        </w:r>
      </w:hyperlink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.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A CISA também recomenda que as organizações visitem o </w:t>
      </w:r>
      <w:hyperlink r:id="rId14">
        <w:r>
          <w:rPr>
            <w:color w:val="2B71AE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StopRansomware.gov</w:t>
        </w:r>
      </w:hyperlink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, uma página da Web centralizada e de todo o governo que fornece recursos e alertas sobre ransomware.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48" w:after="0"/>
        <w:ind w:left="830" w:right="264" w:hanging="360"/>
        <w:jc w:val="left"/>
        <w:rPr>
          <w:rFonts w:ascii="Symbol" w:hAnsi="Symbol"/>
          <w:color w:val="333333"/>
          <w:sz w:val="24"/>
          <w:lang w:val="pt-BR"/>
        </w:rPr>
      </w:pP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Como agência de defesa cibernética do país, a CISA está disponível para ajudar as organizações a melhorar a segurança cibernética e a resiliência, inclusive por meio de especialistas em segurança cibernética designados em todo o país.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No caso de um incidente cibernético, a CISA pode oferecer assistência às organizações vítimas e usar as informações dos relatórios de incidentes para proteger outras possíveis vítimas.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spacing w:val="-3"/>
          <w:lang w:val="pt-BR"/>
          <w:rFonts/>
        </w:rPr>
        <w:t xml:space="preserve">Todas as organizações devem relatar incidentes e atividades anômalas à </w:t>
      </w:r>
      <w:hyperlink r:id="rId15">
        <w:r>
          <w:rPr>
            <w:color w:val="2B71AE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CISA</w:t>
        </w:r>
      </w:hyperlink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e/ou ao FBI por meio do </w:t>
      </w:r>
      <w:hyperlink r:id="rId16">
        <w:r>
          <w:rPr>
            <w:color w:val="2B71AE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escritório local do FBI</w:t>
        </w:r>
      </w:hyperlink>
      <w:r>
        <w:rPr>
          <w:color w:val="333333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ou do CyWatch 24/7 do FBI pelo telefone (855) 292-3937 ou pelo site </w:t>
      </w:r>
      <w:hyperlink r:id="rId17">
        <w:r>
          <w:rPr>
            <w:color w:val="333333"/>
            <w:spacing w:val="-2"/>
            <w:sz w:val="24"/>
            <w:u w:val="none"/>
            <w:i w:val="0"/>
            <w:smallCaps w:val="0"/>
            <w:strike w:val="0"/>
            <w:vertAlign w:val="baseline"/>
            <w:lang w:val="pt-BR"/>
            <w:rFonts/>
          </w:rPr>
          <w:t> CyWatch@fbi.gov.</w:t>
        </w:r>
      </w:hyperlink>
    </w:p>
    <w:p>
      <w:pPr>
        <w:pStyle w:val="Heading1"/>
        <w:spacing w:before="144"/>
        <w:rPr>
          <w:u w:val="none"/>
          <w:lang w:val="pt-BR"/>
          <w:rFonts/>
        </w:rPr>
      </w:pPr>
      <w:bookmarkStart w:name="Additional Resources" w:id="9"/>
      <w:bookmarkEnd w:id="9"/>
      <w:r>
        <w:rPr>
          <w:color w:val="333333"/>
          <w:spacing w:val="-3"/>
          <w:w w:val="97"/>
          <w:u w:val="single" w:color="333333"/>
          <w:i w:val="false"/>
          <w:smallCaps w:val="false"/>
          <w:strike w:val="false"/>
          <w:vertAlign w:val="baseline"/>
          <w:lang w:val="pt-BR"/>
          <w:rFonts/>
        </w:rPr>
        <w:t xml:space="preserve">Recursos adicionais</w:t>
      </w:r>
    </w:p>
    <w:p>
      <w:pPr>
        <w:pStyle w:val="BodyText"/>
        <w:spacing w:before="54"/>
        <w:rPr>
          <w:b/>
          <w:lang w:val="pt-BR"/>
          <w:rFonts/>
        </w:rPr>
      </w:pP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0" w:after="0"/>
        <w:ind w:left="830" w:right="829" w:hanging="360"/>
        <w:jc w:val="left"/>
        <w:rPr>
          <w:rFonts w:ascii="Symbol" w:hAnsi="Symbol"/>
          <w:sz w:val="24"/>
          <w:lang w:val="pt-BR"/>
        </w:rPr>
      </w:pPr>
      <w:hyperlink r:id="rId18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Preparing for and Mitigating Foreign Influence Operations Targeting</w:t>
        </w:r>
      </w:hyperlink>
      <w:r>
        <w:rPr>
          <w:b w:val="true"/>
          <w:color w:val="2B71AE"/>
          <w:spacing w:val="4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8">
        <w:r>
          <w:rPr>
            <w:b w:val="true"/>
            <w:color w:val="2B71AE"/>
            <w:spacing w:val="-2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Critical Infrastructure</w:t>
        </w:r>
      </w:hyperlink>
      <w:r>
        <w:rPr>
          <w:b w:val="true"/>
          <w:color w:val="333333"/>
          <w:spacing w:val="-2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(pdf) (fevereiro de 2022)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3" w:after="0"/>
        <w:ind w:left="830" w:right="707" w:hanging="360"/>
        <w:jc w:val="left"/>
        <w:rPr>
          <w:rFonts w:ascii="Symbol" w:hAnsi="Symbol"/>
          <w:sz w:val="24"/>
          <w:lang w:val="pt-BR"/>
        </w:rPr>
      </w:pPr>
      <w:hyperlink r:id="rId19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Implemente medidas de segurança cibernética agora para se proteger contra possíveis</w:t>
        </w:r>
      </w:hyperlink>
      <w:r>
        <w:rPr>
          <w:b w:val="true"/>
          <w:color w:val="2B71AE"/>
          <w:spacing w:val="4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9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3"/>
            <w:lang w:val="pt-BR"/>
            <w:rFonts/>
          </w:rPr>
          <w:t xml:space="preserve">ameaças críticas</w:t>
        </w:r>
      </w:hyperlink>
      <w:r>
        <w:rPr>
          <w:b w:val="true"/>
          <w:color w:val="333333"/>
          <w:spacing w:val="-4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(pdf) (janeiro de 2022)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2" w:after="0"/>
        <w:ind w:left="830" w:right="971" w:hanging="360"/>
        <w:jc w:val="left"/>
        <w:rPr>
          <w:rFonts w:ascii="Symbol" w:hAnsi="Symbol"/>
          <w:sz w:val="24"/>
          <w:lang w:val="pt-BR"/>
        </w:rPr>
      </w:pPr>
      <w:r>
        <w:rPr>
          <w:b w:val="true"/>
          <w:color w:val="2B71AE"/>
          <w:spacing w:val="8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3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Alerta (AA22-011A) Entendendo e mitigando</w:t>
        </w:r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cibernéticas patrocinadas pelo Estado russo</w:t>
        </w:r>
      </w:hyperlink>
      <w:hyperlink r:id="rId13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as ameaças</w:t>
        </w:r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à infraestrutura crítica dos EUA</w:t>
        </w:r>
      </w:hyperlink>
      <w:r>
        <w:rPr>
          <w:b w:val="true"/>
          <w:color w:val="333333"/>
          <w:spacing w:val="-3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(janeiro de 2022)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2" w:after="0"/>
        <w:ind w:left="830" w:right="655" w:hanging="360"/>
        <w:jc w:val="left"/>
        <w:rPr>
          <w:rFonts w:ascii="Symbol" w:hAnsi="Symbol"/>
          <w:sz w:val="24"/>
          <w:lang w:val="pt-BR"/>
        </w:rPr>
      </w:pPr>
      <w:hyperlink r:id="rId20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Preparando-se e mitigando possíveis ameaças cibernéticas</w:t>
        </w:r>
      </w:hyperlink>
      <w:r>
        <w:rPr>
          <w:b w:val="true"/>
          <w:color w:val="333333"/>
          <w:w w:val="85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(pdf) (dezembro</w:t>
      </w:r>
      <w:r>
        <w:rPr>
          <w:b w:val="true"/>
          <w:color w:val="333333"/>
          <w:w w:val="95"/>
          <w:sz w:val="24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 de 2021)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2" w:after="0"/>
        <w:ind w:left="830" w:right="234" w:hanging="360"/>
        <w:jc w:val="left"/>
        <w:rPr>
          <w:rFonts w:ascii="Symbol" w:hAnsi="Symbol"/>
          <w:sz w:val="24"/>
          <w:lang w:val="pt-BR"/>
        </w:rPr>
      </w:pPr>
      <w:hyperlink r:id="rId21">
        <w:r>
          <w:rPr>
            <w:b w:val="true"/>
            <w:color w:val="2B71AE"/>
            <w:w w:val="91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Lembrete para que a infraestrutura crítica permaneça vigilante contra ameaças durante feriados e</w:t>
        </w:r>
      </w:hyperlink>
      <w:r>
        <w:rPr>
          <w:b w:val="true"/>
          <w:color w:val="2B71AE"/>
          <w:spacing w:val="8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fins </w:t>
      </w:r>
      <w:hyperlink r:id="rId21">
        <w:r>
          <w:rPr>
            <w:b w:val="true"/>
            <w:color w:val="2B71AE"/>
            <w:spacing w:val="-8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de semana</w:t>
        </w:r>
      </w:hyperlink>
      <w:r>
        <w:rPr>
          <w:b w:val="true"/>
          <w:color w:val="333333"/>
          <w:spacing w:val="-11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(novembro de 2021)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2">
        <w:r>
          <w:rPr>
            <w:b w:val="true"/>
            <w:color w:val="2B71AE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spacing w:val="-2"/>
            <w:lang w:val="pt-BR"/>
            <w:rFonts/>
          </w:rPr>
          <w:t xml:space="preserve">Kit de ferramentas de desinformação sobre a COVID-19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37" w:lineRule="auto" w:before="3" w:after="0"/>
        <w:ind w:left="830" w:right="112" w:hanging="360"/>
        <w:jc w:val="left"/>
        <w:rPr>
          <w:rFonts w:ascii="Symbol" w:hAnsi="Symbol"/>
          <w:sz w:val="24"/>
          <w:lang w:val="pt-BR"/>
        </w:rPr>
      </w:pPr>
      <w:r>
        <w:rPr>
          <w:b w:val="true"/>
          <w:color w:val="2B71AE"/>
          <w:spacing w:val="-2"/>
          <w:w w:val="9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23">
        <w:r>
          <w:rPr>
            <w:b w:val="true"/>
            <w:color w:val="2B71AE"/>
            <w:spacing w:val="-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autoridades</w:t>
        </w:r>
      </w:hyperlink>
      <w:hyperlink r:id="rId23">
        <w:r>
          <w:rPr>
            <w:b w:val="true"/>
            <w:color w:val="2B71AE"/>
            <w:spacing w:val="-2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Guia de planejamento e resposta a incidentes de desinformação, desinformação e malinformação (MDM) para</w:t>
        </w:r>
        <w:r>
          <w:rPr>
            <w:b w:val="true"/>
            <w:color w:val="2B71AE"/>
            <w:spacing w:val="-2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eleitorais</w:t>
        </w:r>
      </w:hyperlink>
      <w:r>
        <w:rPr>
          <w:b w:val="true"/>
          <w:color w:val="2B71AE"/>
          <w:spacing w:val="-2"/>
          <w:w w:val="9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4">
        <w:r>
          <w:rPr>
            <w:b w:val="true"/>
            <w:color w:val="2B71AE"/>
            <w:w w:val="95"/>
            <w:sz w:val="24"/>
            <w:u w:val="single" w:color="2B71AE"/>
            <w:i w:val="false"/>
            <w:smallCaps w:val="false"/>
            <w:strike w:val="false"/>
            <w:vertAlign w:val="baseline"/>
            <w:spacing w:val="-1"/>
            <w:lang w:val="pt-BR"/>
            <w:rFonts/>
          </w:rPr>
          <w:t xml:space="preserve">Guia de inicialização da página de controle de rumores do MDM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5">
        <w:r>
          <w:rPr>
            <w:b w:val="true"/>
            <w:color w:val="2B71AE"/>
            <w:spacing w:val="-4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Visão geral e avisos sobre ameaças cibernéticas na Rússia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1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6">
        <w:r>
          <w:rPr>
            <w:b w:val="true"/>
            <w:color w:val="22527B"/>
            <w:w w:val="85"/>
            <w:sz w:val="24"/>
            <w:u w:val="single" w:color="22527B"/>
            <w:i w:val="false"/>
            <w:smallCaps w:val="false"/>
            <w:strike w:val="false"/>
            <w:vertAlign w:val="baseline"/>
            <w:lang w:val="pt-BR"/>
            <w:rFonts/>
          </w:rPr>
          <w:t xml:space="preserve">Ferramentas</w:t>
        </w:r>
        <w:r>
          <w:rPr>
            <w:b w:val="true"/>
            <w:color w:val="22527B"/>
            <w:w w:val="90"/>
            <w:sz w:val="24"/>
            <w:u w:val="single" w:color="22527B"/>
            <w:i w:val="false"/>
            <w:smallCaps w:val="false"/>
            <w:strike w:val="false"/>
            <w:vertAlign w:val="baseline"/>
            <w:spacing w:val="4"/>
            <w:lang w:val="pt-BR"/>
            <w:rFonts/>
          </w:rPr>
          <w:t xml:space="preserve"> e serviços</w:t>
        </w:r>
        <w:r>
          <w:rPr>
            <w:b w:val="true"/>
            <w:color w:val="22527B"/>
            <w:w w:val="85"/>
            <w:sz w:val="24"/>
            <w:u w:val="single" w:color="22527B"/>
            <w:i w:val="false"/>
            <w:smallCaps w:val="false"/>
            <w:strike w:val="false"/>
            <w:vertAlign w:val="baseline"/>
            <w:lang w:val="pt-BR"/>
            <w:rFonts/>
          </w:rPr>
          <w:t xml:space="preserve"> gratuitos de segurança cibernética para os setores público</w:t>
        </w:r>
        <w:r>
          <w:rPr>
            <w:b w:val="true"/>
            <w:color w:val="22527B"/>
            <w:w w:val="90"/>
            <w:sz w:val="24"/>
            <w:u w:val="single" w:color="22527B"/>
            <w:i w:val="false"/>
            <w:smallCaps w:val="false"/>
            <w:strike w:val="false"/>
            <w:vertAlign w:val="baseline"/>
            <w:spacing w:val="5"/>
            <w:lang w:val="pt-BR"/>
            <w:rFonts/>
          </w:rPr>
          <w:t xml:space="preserve"> e privado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7">
        <w:r>
          <w:rPr>
            <w:b w:val="true"/>
            <w:color w:val="2B71AE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spacing w:val="-2"/>
            <w:lang w:val="pt-BR"/>
            <w:rFonts/>
          </w:rPr>
          <w:t xml:space="preserve">Guerra ao abacaxi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1" w:after="0"/>
        <w:ind w:left="830" w:right="0" w:hanging="360"/>
        <w:jc w:val="left"/>
        <w:rPr>
          <w:rFonts w:ascii="Symbol" w:hAnsi="Symbol"/>
          <w:sz w:val="24"/>
          <w:lang w:val="pt-BR"/>
        </w:rPr>
      </w:pPr>
      <w:bookmarkStart w:name=" External Resources" w:id="10"/>
      <w:bookmarkEnd w:id="10"/>
      <w:r>
        <w:rPr>
          <w:b w:val="true"/>
          <w:color w:val="333333"/>
          <w:w w:val="93"/>
          <w:sz w:val="24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Recursos externos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8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Kit de ferramentas de combate à desinformação RESIST 2 - GCS (civilservice.gov.uk)</w:t>
        </w:r>
      </w:hyperlink>
    </w:p>
    <w:p>
      <w:pPr>
        <w:pStyle w:val="ListParagraph"/>
        <w:numPr>
          <w:ilvl w:val="0"/>
          <w:numId w:val="1"/>
        </w:numPr>
        <w:tabs>
          <w:tab w:pos="830" w:val="left" w:leader="none"/>
        </w:tabs>
        <w:spacing w:line="240" w:lineRule="auto" w:before="1" w:after="0"/>
        <w:ind w:left="830" w:right="0" w:hanging="360"/>
        <w:jc w:val="left"/>
        <w:rPr>
          <w:rFonts w:ascii="Symbol" w:hAnsi="Symbol"/>
          <w:sz w:val="24"/>
          <w:lang w:val="pt-BR"/>
        </w:rPr>
      </w:pPr>
      <w:hyperlink r:id="rId29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spacing w:val="4"/>
            <w:lang w:val="pt-BR"/>
            <w:rFonts/>
          </w:rPr>
          <w:t xml:space="preserve">Agência Sueca de Contingências Civis (MSB) | Combate à desinformação</w:t>
        </w:r>
      </w:hyperlink>
    </w:p>
    <w:sectPr>
      <w:pgSz w:w="12240" w:h="15840"/>
      <w:pgMar w:top="78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spacing w:val="0"/>
        <w:w w:val="100"/>
        <w:lang w:val="pt-BR" w:eastAsia="en-US" w:bidi="ar-SA"/>
      </w:rPr>
    </w:lvl>
    <w:lvl w:ilvl="1">
      <w:start w:val="0"/>
      <w:numFmt w:val="bullet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333333"/>
        <w:spacing w:val="0"/>
        <w:w w:val="100"/>
        <w:sz w:val="20"/>
        <w:szCs w:val="20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551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542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533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524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515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50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497" w:hanging="360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BR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Tahoma" w:hAnsi="Tahoma" w:eastAsia="Tahoma" w:cs="Tahoma"/>
      <w:b/>
      <w:bCs/>
      <w:sz w:val="28"/>
      <w:szCs w:val="28"/>
      <w:u w:val="single" w:color="000000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ind w:left="830" w:hanging="360"/>
    </w:pPr>
    <w:rPr>
      <w:rFonts w:ascii="Tahoma" w:hAnsi="Tahoma" w:eastAsia="Tahoma" w:cs="Tahoma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cisa.gov/shields-up" TargetMode="External"/><Relationship Id="rId8" Type="http://schemas.openxmlformats.org/officeDocument/2006/relationships/hyperlink" Target="https://www.cisa.gov/known-exploited-vulnerabilities-catalog" TargetMode="External"/><Relationship Id="rId9" Type="http://schemas.openxmlformats.org/officeDocument/2006/relationships/hyperlink" Target="https://www.cisa.gov/uscert/ncas/analysis-reports/ar21-013a" TargetMode="External"/><Relationship Id="rId10" Type="http://schemas.openxmlformats.org/officeDocument/2006/relationships/hyperlink" Target="https://www.cisa.gov/cyber-hygiene-services" TargetMode="External"/><Relationship Id="rId11" Type="http://schemas.openxmlformats.org/officeDocument/2006/relationships/hyperlink" Target="https://support.workiva.com/hc/en-us/articles/360035646392-View-Organization-Activities" TargetMode="External"/><Relationship Id="rId12" Type="http://schemas.openxmlformats.org/officeDocument/2006/relationships/hyperlink" Target="https://support.workiva.com/hc/en-us/articles/360035639692-Prepare-for-the-Unexpected" TargetMode="External"/><Relationship Id="rId13" Type="http://schemas.openxmlformats.org/officeDocument/2006/relationships/hyperlink" Target="https://www.cisa.gov/uscert/ncas/alerts/aa22-011a" TargetMode="External"/><Relationship Id="rId14" Type="http://schemas.openxmlformats.org/officeDocument/2006/relationships/hyperlink" Target="https://www.cisa.gov/stopransomware" TargetMode="External"/><Relationship Id="rId15" Type="http://schemas.openxmlformats.org/officeDocument/2006/relationships/hyperlink" Target="https://www.cisa.gov/uscert/report" TargetMode="External"/><Relationship Id="rId16" Type="http://schemas.openxmlformats.org/officeDocument/2006/relationships/hyperlink" Target="https://www.fbi.gov/contact-us/field-offices" TargetMode="External"/><Relationship Id="rId17" Type="http://schemas.openxmlformats.org/officeDocument/2006/relationships/hyperlink" Target="mailto:CyWatch@fbi.gov" TargetMode="External"/><Relationship Id="rId18" Type="http://schemas.openxmlformats.org/officeDocument/2006/relationships/hyperlink" Target="https://www.cisa.gov/sites/default/files/publications/cisa_insight_mitigating_foreign_influence_508.pdf" TargetMode="External"/><Relationship Id="rId19" Type="http://schemas.openxmlformats.org/officeDocument/2006/relationships/hyperlink" Target="https://www.cisa.gov/sites/default/files/publications/CISA_Insights-Implement_Cybersecurity_Measures_Now_to_Protect_Against_Critical_Threats_508C.pdf" TargetMode="External"/><Relationship Id="rId20" Type="http://schemas.openxmlformats.org/officeDocument/2006/relationships/hyperlink" Target="https://www.cisa.gov/sites/default/files/publications/CISA_INSIGHTS-Preparing_For_and_Mitigating_Potential_Cyber_Threats-508C.pdf" TargetMode="External"/><Relationship Id="rId21" Type="http://schemas.openxmlformats.org/officeDocument/2006/relationships/hyperlink" Target="https://www.cisa.gov/uscert/ncas/current-activity/2021/11/22/reminder-critical-infrastructure-stay-vigilant-against-threats" TargetMode="External"/><Relationship Id="rId22" Type="http://schemas.openxmlformats.org/officeDocument/2006/relationships/hyperlink" Target="https://www.cisa.gov/publication/covid-19-disinformation-toolkit" TargetMode="External"/><Relationship Id="rId23" Type="http://schemas.openxmlformats.org/officeDocument/2006/relationships/hyperlink" Target="https://www.cisa.gov/sites/default/files/publications/mdm-incident-response-guide_508.pdf" TargetMode="External"/><Relationship Id="rId24" Type="http://schemas.openxmlformats.org/officeDocument/2006/relationships/hyperlink" Target="https://www.cisa.gov/sites/default/files/publications/rumor-control-startup-guide_508.pdf" TargetMode="External"/><Relationship Id="rId25" Type="http://schemas.openxmlformats.org/officeDocument/2006/relationships/hyperlink" Target="https://www.cisa.gov/uscert/russia" TargetMode="External"/><Relationship Id="rId26" Type="http://schemas.openxmlformats.org/officeDocument/2006/relationships/hyperlink" Target="https://www.cisa.gov/free-cybersecurity-tools-and-services" TargetMode="External"/><Relationship Id="rId27" Type="http://schemas.openxmlformats.org/officeDocument/2006/relationships/hyperlink" Target="https://www.cisa.gov/publication/war-pineapple" TargetMode="External"/><Relationship Id="rId28" Type="http://schemas.openxmlformats.org/officeDocument/2006/relationships/hyperlink" Target="https://gcs.civilservice.gov.uk/publications/resist-2-counter-disinformation-toolkit/" TargetMode="External"/><Relationship Id="rId29" Type="http://schemas.openxmlformats.org/officeDocument/2006/relationships/hyperlink" Target="https://counteringdisinformation.org/taxonomy/term/822" TargetMode="External"/><Relationship Id="rId3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Relações com investidores Comunicados à imprensa</dc:title>
  <dcterms:created xsi:type="dcterms:W3CDTF">2024-07-01T10:16:14Z</dcterms:created>
  <dcterms:modified xsi:type="dcterms:W3CDTF">2024-07-01T10:16:14Z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2024-07-01T00:00:00Z</vt:filetime>
  </property>
</Properties>
</file>