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483" w:val="left" w:leader="none"/>
        </w:tabs>
        <w:spacing w:line="240" w:lineRule="auto"/>
        <w:ind w:left="110" w:right="0" w:firstLine="0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drawing>
          <wp:inline distT="0" distB="0" distL="0" distR="0">
            <wp:extent cx="1986912" cy="5246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912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position w:val="15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drawing>
          <wp:inline distT="0" distB="0" distL="0" distR="0">
            <wp:extent cx="769474" cy="523875"/>
            <wp:effectExtent l="0" t="0" r="0" b="0"/>
            <wp:docPr id="2" name="Image 2" descr="Logo, company name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Logo, company nam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47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lang w:val="pt-BR"/>
        </w:rPr>
      </w:pPr>
    </w:p>
    <w:p>
      <w:pPr>
        <w:pStyle w:val="BodyText"/>
        <w:spacing w:before="86"/>
        <w:rPr>
          <w:rFonts w:ascii="Times New Roman" w:hAnsi="Times New Roman"/>
          <w:lang w:val="pt-BR"/>
        </w:rPr>
      </w:pPr>
    </w:p>
    <w:p>
      <w:pPr>
        <w:pStyle w:val="BodyText"/>
        <w:spacing w:before="1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2 de março de 2022</w:t>
      </w:r>
    </w:p>
    <w:p>
      <w:pPr>
        <w:pStyle w:val="BodyText"/>
        <w:spacing w:before="116"/>
      </w:pPr>
    </w:p>
    <w:p>
      <w:pPr>
        <w:pStyle w:val="BodyText"/>
        <w:spacing w:line="287" w:lineRule="exact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Resposta da Workiva ao ataque da Rússia à Ucrânia: Tempos voláteis exigem maior atenção</w:t>
      </w:r>
    </w:p>
    <w:p>
      <w:pPr>
        <w:pStyle w:val="BodyText"/>
        <w:spacing w:line="287" w:lineRule="exact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preparação para a segurança cibernética.</w:t>
      </w:r>
    </w:p>
    <w:p>
      <w:pPr>
        <w:pStyle w:val="BodyText"/>
        <w:spacing w:before="285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segue rigorosamente as diretrizes publicadas pelo U.S. Cybersecurity &amp; Infrastructure</w:t>
      </w:r>
    </w:p>
    <w:p>
      <w:pPr>
        <w:pStyle w:val="BodyText"/>
        <w:spacing w:line="237" w:lineRule="auto" w:before="3"/>
        <w:ind w:left="110" w:right="67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CISO (Security Agency)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a </w:t>
      </w:r>
      <w:hyperlink r:id="rId7">
        <w:r>
          <w:rPr>
            <w:u w:val="non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>,</w:t>
        </w:r>
        <w:r>
          <w:rPr>
            <w:color w:val="1154CC"/>
            <w:u w:val="single" w:color="1154CC"/>
            <w:i w:val="false"/>
            <w:smallCaps w:val="false"/>
            <w:strike w:val="false"/>
            <w:vertAlign w:val="baseline"/>
            <w:spacing w:val="-4"/>
            <w:lang w:val="pt-BR"/>
            <w:rFonts/>
          </w:rPr>
          <w:t xml:space="preserve">iniciativa SHIELDS UP</w:t>
        </w:r>
      </w:hyperlink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 e </w:t>
      </w:r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ENISA (</w:t>
      </w:r>
      <w:hyperlink r:id="rId8">
        <w:r>
          <w:rPr>
            <w:color w:val="0000FF"/>
            <w:u w:val="single" w:color="0000FF"/>
            <w:i w:val="false"/>
            <w:smallCaps w:val="false"/>
            <w:strike w:val="false"/>
            <w:vertAlign w:val="baseline"/>
            <w:spacing w:val="-4"/>
            <w:lang w:val="pt-BR"/>
            <w:rFonts/>
          </w:rPr>
          <w:t xml:space="preserve">a orientação da </w:t>
        </w:r>
        <w:r>
          <w:rPr>
            <w:color w:val="0000FF"/>
            <w:u w:val="single" w:color="0000FF"/>
            <w:i w:val="false"/>
            <w:smallCaps w:val="false"/>
            <w:strike w:val="false"/>
            <w:vertAlign w:val="baseline"/>
            <w:spacing w:val="-4"/>
            <w:lang w:val="pt-BR"/>
            <w:rFonts/>
          </w:rPr>
          <w:t xml:space="preserve">European Union Agency </w:t>
        </w:r>
      </w:hyperlink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8">
        <w:r>
          <w:rPr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  <w:rFonts/>
          </w:rPr>
          <w:t xml:space="preserve">for Cybersecurity</w:t>
        </w:r>
      </w:hyperlink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)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e se comprometeu a compartilhar quaisquer incidentes ou atividades anômalas com as autoridades competentes da aplicação da lei na(s) jurisdição(ões) onde a atividade ocorre.</w:t>
      </w:r>
    </w:p>
    <w:p>
      <w:pPr>
        <w:pStyle w:val="BodyText"/>
        <w:spacing w:before="288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A Workiva implementou o conjunto de recomendações da ENISA e do CERT-EU: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3" w:right="0" w:hanging="253"/>
        <w:jc w:val="left"/>
        <w:rPr>
          <w:b/>
          <w:sz w:val="24"/>
          <w:lang w:val="pt-BR"/>
          <w:rFonts/>
        </w:rPr>
      </w:pP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Garanta que os serviços de acesso remoto</w:t>
      </w:r>
      <w:r>
        <w:rPr>
          <w:b w:val="true"/>
          <w:w w:val="91"/>
          <w:sz w:val="24"/>
          <w:i w:val="false"/>
          <w:smallCaps w:val="false"/>
          <w:strike w:val="false"/>
          <w:color w:val="000000"/>
          <w:u w:val="none"/>
          <w:vertAlign w:val="baseline"/>
          <w:spacing w:val="7"/>
          <w:lang w:val="pt-BR"/>
          <w:rFonts/>
        </w:rPr>
        <w:t xml:space="preserve"> exijam autenticação multifator (MFA).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287" w:after="0"/>
        <w:ind w:left="830" w:right="915" w:hanging="360"/>
        <w:jc w:val="left"/>
        <w:rPr>
          <w:sz w:val="24"/>
          <w:lang w:val="pt-BR"/>
          <w:rFonts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exige que todos os constituintes da Workiva usem o Single Sign On com Multi Factor Authentication.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A Workiva recomenda que nossos clientes implementem o Single Sign On.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35" w:lineRule="auto" w:before="0" w:after="0"/>
        <w:ind w:left="110" w:right="691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1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Certifique-se de que os usuários não reutilizem as senhas e incentive-os a usar a autenticação de múltiplos fatores (MFA) sempre que suportada por um aplicativo (nas mídias sociais, por exemplo).</w:t>
      </w:r>
    </w:p>
    <w:p>
      <w:pPr>
        <w:pStyle w:val="BodyText"/>
        <w:spacing w:before="4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1" w:after="0"/>
        <w:ind w:left="830" w:right="36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exige uma senha complexa, além de nosso Single Sign On e Multi Factor Authentication.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Recomendamos que os clientes definam senhas de acordo com suas políticas internas e implementem o Single Sign On também.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89" w:after="0"/>
        <w:ind w:left="363" w:right="0" w:hanging="253"/>
        <w:jc w:val="left"/>
        <w:rPr>
          <w:b/>
          <w:sz w:val="24"/>
          <w:lang w:val="pt-BR"/>
          <w:rFonts/>
        </w:rPr>
      </w:pPr>
      <w:r>
        <w:rPr>
          <w:b w:val="true"/>
          <w:w w:val="91"/>
          <w:sz w:val="24"/>
          <w:i w:val="false"/>
          <w:smallCaps w:val="false"/>
          <w:strike w:val="false"/>
          <w:color w:val="000000"/>
          <w:u w:val="none"/>
          <w:vertAlign w:val="baseline"/>
          <w:spacing w:val="3"/>
          <w:lang w:val="pt-BR"/>
          <w:rFonts/>
        </w:rPr>
        <w:t xml:space="preserve">Certifique-se de que todos os softwares estejam atualizados.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284" w:after="0"/>
        <w:ind w:left="830" w:right="149" w:hanging="360"/>
        <w:jc w:val="left"/>
        <w:rPr>
          <w:sz w:val="24"/>
          <w:lang w:val="pt-BR"/>
          <w:rFonts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 Workiva utiliza mecanismos automatizados de aplicação de patches para garantir que o software do host e do contêiner seja corrigido e atualizado.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As vulnerabilidades identificadas em bibliotecas de terceiros incluídas em nosso aplicativo são priorizadas por gravidade e corrigidas como parte de nosso SDLC.</w:t>
      </w:r>
    </w:p>
    <w:p>
      <w:pPr>
        <w:pStyle w:val="BodyText"/>
        <w:spacing w:before="234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3" w:right="0" w:hanging="253"/>
        <w:jc w:val="left"/>
        <w:rPr>
          <w:b/>
          <w:sz w:val="24"/>
          <w:lang w:val="pt-BR"/>
          <w:rFonts/>
        </w:rPr>
      </w:pP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5"/>
          <w:lang w:val="pt-BR"/>
          <w:rFonts/>
        </w:rPr>
        <w:t xml:space="preserve">Controle rigorosamente o acesso de terceiros às suas redes e sistemas internos.</w:t>
      </w:r>
    </w:p>
    <w:p>
      <w:pPr>
        <w:pStyle w:val="BodyText"/>
        <w:spacing w:before="2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271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Todo o acesso à Workiva é baseado em privilégios mínimos e requer o uso de IDs exclusivos com adesão às nossas políticas de senha.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 acesso deve ser aprovado pelo gerente funcional e pelo proprietário do sistema, conforme gerenciado por meio de nosso sistema de tíquetes.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Todas as atividades na rede e nos sistemas da Workiva são registradas em nossa ferramenta SIEM centralizada.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88" w:after="0"/>
        <w:ind w:left="110" w:right="1373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Preste atenção especial à proteção de seus ambientes de nuvem antes de mover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8"/>
          <w:lang w:val="pt-BR"/>
          <w:rFonts/>
        </w:rPr>
        <w:t xml:space="preserve"> cargas</w:t>
      </w: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críticas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8"/>
          <w:lang w:val="pt-BR"/>
          <w:rFonts/>
        </w:rPr>
        <w:t xml:space="preserve"> para a nuvem.</w:t>
      </w:r>
    </w:p>
    <w:p>
      <w:pPr>
        <w:spacing w:after="0" w:line="240" w:lineRule="auto"/>
        <w:jc w:val="left"/>
        <w:rPr>
          <w:sz w:val="24"/>
          <w:lang w:val="pt-BR"/>
          <w:rFonts/>
        </w:rPr>
        <w:sectPr>
          <w:type w:val="continuous"/>
          <w:pgSz w:w="12240" w:h="15840"/>
          <w:pgMar w:top="1360" w:bottom="280" w:left="880" w:right="880"/>
        </w:sect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76" w:after="0"/>
        <w:ind w:left="830" w:right="118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estabeleceu e documentou nossas definições de configuração de acordo com as linhas de base do Center for Internet Security (CIS) e as listas de verificação em conformidade com o SCAP.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86" w:after="0"/>
        <w:ind w:left="363" w:right="0" w:hanging="253"/>
        <w:jc w:val="left"/>
        <w:rPr>
          <w:b/>
          <w:sz w:val="24"/>
          <w:lang w:val="pt-BR"/>
          <w:rFonts/>
        </w:rPr>
      </w:pP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4"/>
          <w:lang w:val="pt-BR"/>
          <w:rFonts/>
        </w:rPr>
        <w:t xml:space="preserve">Revise sua estratégia de backup de dados.</w:t>
      </w:r>
    </w:p>
    <w:p>
      <w:pPr>
        <w:pStyle w:val="BodyText"/>
        <w:spacing w:before="2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1" w:after="0"/>
        <w:ind w:left="830" w:right="27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utiliza backup redundante de dados para oferecer recuperação pontual.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Além disso, a Workiva permite que os clientes administrem suas contas por conta própria.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qualquer momento, um cliente pode salvar/exportar um documento ou excluir um documento.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suporta o salvamento de arquivos nos formatos DOCX (MS Word), XLSX (MS Excel) ou PDF (Adobe) para arquivamento em seus próprios sistemas.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também suporta a exportação em formato XML para uso posterior na plataforma.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974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Ferramentas do cliente</w:t>
      </w:r>
      <w:r>
        <w:rPr>
          <w:spacing w:val="40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r:id="rId9">
        <w:r>
          <w:rPr>
            <w:color w:val="0000FF"/>
            <w:sz w:val="24"/>
            <w:u w:val="single" w:color="0000FF"/>
            <w:i w:val="false"/>
            <w:smallCaps w:val="false"/>
            <w:strike w:val="false"/>
            <w:vertAlign w:val="baseline"/>
            <w:lang w:val="pt-BR"/>
            <w:rFonts/>
          </w:rPr>
          <w:t xml:space="preserve">:https://support.workiva.com/hc/en-us/articles/360035639692- </w:t>
        </w:r>
      </w:hyperlink>
      <w:r>
        <w:rPr>
          <w:color w:val="0000FF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  <w:i w:val="false"/>
            <w:smallCaps w:val="false"/>
            <w:strike w:val="false"/>
            <w:vertAlign w:val="baseline"/>
            <w:lang w:val="pt-BR"/>
            <w:rFonts/>
          </w:rPr>
          <w:t xml:space="preserve">Prepare-se para o inesperado</w:t>
        </w:r>
      </w:hyperlink>
    </w:p>
    <w:p>
      <w:pPr>
        <w:pStyle w:val="BodyText"/>
        <w:spacing w:before="239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37" w:lineRule="auto" w:before="0" w:after="0"/>
        <w:ind w:left="110" w:right="1159" w:firstLine="0"/>
        <w:jc w:val="left"/>
        <w:rPr>
          <w:b/>
          <w:sz w:val="24"/>
          <w:lang w:val="pt-BR"/>
          <w:rFonts/>
        </w:rPr>
      </w:pP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Altere todas as credenciais padrão e desative os protocolos que não oferecem suporte à</w:t>
      </w: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autenticação</w:t>
      </w: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multifatorial</w:t>
      </w: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ou</w:t>
      </w: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que</w:t>
      </w: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usam autenticação fraca (por exemplo, senhas de texto não criptografado ou protocolo de autenticação ou criptografia desatualizado e vulnerável</w:t>
      </w: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)</w:t>
      </w:r>
    </w:p>
    <w:p>
      <w:pPr>
        <w:pStyle w:val="BodyText"/>
        <w:spacing w:before="4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128" w:hanging="360"/>
        <w:jc w:val="left"/>
        <w:rPr>
          <w:sz w:val="24"/>
          <w:lang w:val="pt-BR"/>
          <w:rFonts/>
        </w:rPr>
      </w:pPr>
      <w:r>
        <w:rPr>
          <w:color w:val="000000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 Workiva estabeleceu e documentou nossas definições de configuração de acordo com as linhas de base do Center for Internet Security (CIS) e as listas de verificação compatíveis com SCAP.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exige que todos os constituintes da Workiva usem o Single Sign On com Multi Factor Authentication.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recomenda que nossos clientes implementem o Single Sign On.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37" w:lineRule="auto" w:before="1" w:after="0"/>
        <w:ind w:left="110" w:right="1099" w:firstLine="0"/>
        <w:jc w:val="both"/>
        <w:rPr>
          <w:b/>
          <w:sz w:val="24"/>
          <w:lang w:val="pt-BR"/>
          <w:rFonts/>
        </w:rPr>
      </w:pPr>
      <w:r>
        <w:rPr>
          <w:b w:val="true"/>
          <w:w w:val="88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Empregar segmentação e restrições de rede adequadas para limitar o acesso e utilizar atributos adicionais (como informações do dispositivo, ambiente e caminhos de acesso) ao tomar decisões de acesso.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286" w:after="0"/>
        <w:ind w:left="830" w:right="0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A Workiva proíbe o uso de IDs de usuário compartilhados e todos os acessos ao sistema são registrados.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4" w:after="0"/>
        <w:ind w:left="830" w:right="426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Todas as tarefas administrativas são capturadas em nosso sistema de emissão de tíquetes e são regidas por nosso processo de controle de alterações dentro de nossas Políticas de Segurança da Informação.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Os registros do sistema dos provedores de nuvem são agregados ao nosso SIEM centralizado.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Todo o acesso é concedido por meio de nosso logon único, que exige autenticação multifatorial validada pelo FIPS-140-2.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confiança do dispositivo é gerenciada e controlada por meio de requisitos e locais específicos do dispositivo.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89" w:after="0"/>
        <w:ind w:left="363" w:right="0" w:hanging="253"/>
        <w:jc w:val="both"/>
        <w:rPr>
          <w:b/>
          <w:sz w:val="24"/>
          <w:lang w:val="pt-BR"/>
          <w:rFonts/>
        </w:rPr>
      </w:pP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Realizar treinamentos regulares para garantir que os administradores de TI e de sistemas tenham uma sólida</w:t>
      </w:r>
    </w:p>
    <w:p>
      <w:pPr>
        <w:spacing w:before="1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5"/>
          <w:lang w:val="pt-BR"/>
          <w:rFonts/>
        </w:rPr>
        <w:t xml:space="preserve">compreensão da política de segurança de sua organização e dos procedimentos associados.</w:t>
      </w:r>
    </w:p>
    <w:p>
      <w:pPr>
        <w:pStyle w:val="BodyText"/>
        <w:spacing w:before="1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1" w:after="0"/>
        <w:ind w:left="830" w:right="1299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Os funcionários da Workiva recebem treinamento regular de conscientização de segurança sobre políticas, procedimentos e processos anualmente, com base em sua função e acesso.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7" w:lineRule="auto" w:before="288" w:after="0"/>
        <w:ind w:left="110" w:right="984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Crie um ambiente de segurança de e-mail resiliente ativando a filtragem antispam, adicionando um gateway de e-mail seguro configurado para seguir automaticamente políticas testadas em campo e manuais projetados para impedir que e-mails mal-intencionados cheguem às caixas de correio.</w:t>
      </w:r>
    </w:p>
    <w:p>
      <w:pPr>
        <w:pStyle w:val="BodyText"/>
        <w:spacing w:before="4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850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A Workiva utiliza filtragem de spam de e-mail e bloqueia qualquer encaminhamento automático de e-mails. Além disso, os dispositivos e servidores executam ferramentas antimalware.</w:t>
      </w:r>
    </w:p>
    <w:p>
      <w:pPr>
        <w:spacing w:after="0" w:line="237" w:lineRule="auto"/>
        <w:jc w:val="left"/>
        <w:rPr>
          <w:sz w:val="24"/>
          <w:lang w:val="pt-BR"/>
          <w:rFonts/>
        </w:rPr>
        <w:sectPr>
          <w:pgSz w:w="12240" w:h="15840"/>
          <w:pgMar w:top="78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7" w:lineRule="auto" w:before="83" w:after="0"/>
        <w:ind w:left="110" w:right="1311" w:firstLine="0"/>
        <w:jc w:val="both"/>
        <w:rPr>
          <w:b/>
          <w:sz w:val="24"/>
          <w:lang w:val="pt-BR"/>
          <w:rFonts/>
        </w:rPr>
      </w:pPr>
      <w:r>
        <w:rPr>
          <w:b w:val="true"/>
          <w:w w:val="93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Organize eventos regulares de conscientização cibernética para treinar seus usuários sobre técnicas comuns de phishing (por exemplo, identificar mensagens falsas/suspeitas) e os efeitos dos ataques de phishing.</w:t>
      </w:r>
    </w:p>
    <w:p>
      <w:pPr>
        <w:pStyle w:val="BodyText"/>
        <w:spacing w:before="1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0" w:after="0"/>
        <w:ind w:left="830" w:right="331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Os funcionários da Workiva passam por vários treinamentos de conscientização de segurança e outros treinamentos pelo menos uma vez por ano.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Além disso, a Workiva realiza campanhas de engenharia social regularmente.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Quando necessário, é fornecido treinamento adicional.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283" w:after="0"/>
        <w:ind w:left="502" w:right="0" w:hanging="392"/>
        <w:jc w:val="both"/>
        <w:rPr>
          <w:b/>
          <w:sz w:val="24"/>
          <w:lang w:val="pt-BR"/>
          <w:rFonts/>
        </w:rPr>
      </w:pP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Proteja</w:t>
      </w: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7"/>
          <w:lang w:val="pt-BR"/>
          <w:rFonts/>
        </w:rPr>
        <w:t xml:space="preserve"> seus ativos da Web contra ataques de negação de serviço.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285" w:after="0"/>
        <w:ind w:left="830" w:right="0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plataforma da Workiva se baseia na plataforma de nuvem da AWS e se beneficia diretamente dos recursos da AWS</w:t>
      </w:r>
    </w:p>
    <w:p>
      <w:pPr>
        <w:pStyle w:val="BodyText"/>
        <w:spacing w:before="2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serviço gerenciado de proteção contra DDoS, o AWS Shield.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7" w:lineRule="auto" w:before="288" w:after="0"/>
        <w:ind w:left="110" w:right="1202" w:firstLine="0"/>
        <w:jc w:val="both"/>
        <w:rPr>
          <w:b/>
          <w:sz w:val="24"/>
          <w:lang w:val="pt-BR"/>
          <w:rFonts/>
        </w:rPr>
      </w:pPr>
      <w:r>
        <w:rPr>
          <w:b w:val="true"/>
          <w:spacing w:val="-2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Bloqueie ou limite severamente o acesso à Internet para servidores ou outros dispositivos que raramente são reinicializados, pois eles são cobiçados por agentes de ameaças para estabelecer backdoors e criar beacons persistentes para a infraestrutura de Comando e Controle (C2).</w:t>
      </w:r>
    </w:p>
    <w:p>
      <w:pPr>
        <w:pStyle w:val="BodyText"/>
        <w:spacing w:before="1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3" w:lineRule="exact" w:before="0" w:after="0"/>
        <w:ind w:left="830" w:right="0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 infraestrutura da Workiva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 opera em um ambiente de "servidores como commodities", os servidores são</w:t>
      </w:r>
    </w:p>
    <w:p>
      <w:pPr>
        <w:pStyle w:val="BodyText"/>
        <w:spacing w:line="288" w:lineRule="exact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de curta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 duração e gerenciados por configuração como código para garantir que não possam ser modificados.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5" w:lineRule="auto" w:before="0" w:after="0"/>
        <w:ind w:left="110" w:right="985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Certifique-se de que você tenha os procedimentos para entrar em contato e se comunicar rapidamente com o CSIRT.</w:t>
      </w:r>
    </w:p>
    <w:p>
      <w:pPr>
        <w:pStyle w:val="BodyText"/>
        <w:spacing w:before="4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1119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Workiva mantém um plano de resposta a incidentes com detalhes de contato para as autoridades relevantes nas jurisdições em que opera.</w:t>
      </w:r>
    </w:p>
    <w:p>
      <w:pPr>
        <w:spacing w:before="287"/>
        <w:ind w:left="110" w:right="0" w:firstLine="0"/>
        <w:jc w:val="left"/>
        <w:rPr>
          <w:b/>
          <w:sz w:val="28"/>
          <w:lang w:val="pt-BR"/>
          <w:rFonts/>
        </w:rPr>
      </w:pPr>
      <w:bookmarkStart w:name="Additional Resources" w:id="1"/>
      <w:bookmarkEnd w:id="1"/>
      <w:r>
        <w:rPr>
          <w:b w:val="true"/>
          <w:color w:val="333333"/>
          <w:spacing w:val="-3"/>
          <w:w w:val="97"/>
          <w:sz w:val="28"/>
          <w:u w:val="single" w:color="333333"/>
          <w:i w:val="false"/>
          <w:smallCaps w:val="false"/>
          <w:strike w:val="false"/>
          <w:vertAlign w:val="baseline"/>
          <w:lang w:val="pt-BR"/>
          <w:rFonts/>
        </w:rPr>
        <w:t xml:space="preserve">Recursos adicionais</w:t>
      </w:r>
    </w:p>
    <w:p>
      <w:pPr>
        <w:pStyle w:val="BodyText"/>
        <w:spacing w:before="48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829" w:hanging="360"/>
        <w:jc w:val="left"/>
        <w:rPr>
          <w:b/>
          <w:sz w:val="24"/>
          <w:lang w:val="pt-BR"/>
          <w:rFonts/>
        </w:rPr>
      </w:pPr>
      <w:hyperlink r:id="rId10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Preparing for and Mitigating Foreign Influence Operations Targeting</w:t>
        </w:r>
      </w:hyperlink>
      <w:r>
        <w:rPr>
          <w:b w:val="true"/>
          <w:color w:val="2B71AE"/>
          <w:spacing w:val="4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0"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Critical Infrastructure</w:t>
        </w:r>
      </w:hyperlink>
      <w:r>
        <w:rPr>
          <w:b w:val="true"/>
          <w:color w:val="333333"/>
          <w:spacing w:val="-2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(pdf) (fevereiro de 2022)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2" w:after="0"/>
        <w:ind w:left="830" w:right="707" w:hanging="360"/>
        <w:jc w:val="left"/>
        <w:rPr>
          <w:b/>
          <w:sz w:val="24"/>
          <w:lang w:val="pt-BR"/>
          <w:rFonts/>
        </w:rPr>
      </w:pPr>
      <w:hyperlink r:id="rId11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Implemente medidas de segurança cibernética agora para se proteger contra possíveis</w:t>
        </w:r>
      </w:hyperlink>
      <w:r>
        <w:rPr>
          <w:b w:val="true"/>
          <w:color w:val="2B71AE"/>
          <w:spacing w:val="4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1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3"/>
            <w:lang w:val="pt-BR"/>
            <w:rFonts/>
          </w:rPr>
          <w:t xml:space="preserve">ameaças críticas</w:t>
        </w:r>
      </w:hyperlink>
      <w:r>
        <w:rPr>
          <w:b w:val="true"/>
          <w:color w:val="333333"/>
          <w:spacing w:val="-4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(pdf) (janeiro de 2022)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3" w:after="0"/>
        <w:ind w:left="830" w:right="971" w:hanging="360"/>
        <w:jc w:val="left"/>
        <w:rPr>
          <w:b/>
          <w:sz w:val="24"/>
          <w:lang w:val="pt-BR"/>
          <w:rFonts/>
        </w:rPr>
      </w:pPr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2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Alerta (AA22-011A) Entendendo e mitigando</w:t>
        </w:r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cibernéticas patrocinadas pelo Estado russo</w:t>
        </w:r>
      </w:hyperlink>
      <w:hyperlink r:id="rId12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as ameaças</w:t>
        </w:r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à infraestrutura crítica dos EUA</w:t>
        </w:r>
      </w:hyperlink>
      <w:r>
        <w:rPr>
          <w:b w:val="true"/>
          <w:color w:val="333333"/>
          <w:spacing w:val="-3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(janeiro de 2022)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2" w:after="0"/>
        <w:ind w:left="830" w:right="655" w:hanging="360"/>
        <w:jc w:val="left"/>
        <w:rPr>
          <w:b/>
          <w:sz w:val="24"/>
          <w:lang w:val="pt-BR"/>
          <w:rFonts/>
        </w:rPr>
      </w:pPr>
      <w:hyperlink r:id="rId13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Preparando-se e mitigando possíveis ameaças cibernéticas</w:t>
        </w:r>
      </w:hyperlink>
      <w:r>
        <w:rPr>
          <w:b w:val="true"/>
          <w:color w:val="333333"/>
          <w:w w:val="85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(pdf) (dezembro</w:t>
      </w:r>
      <w:r>
        <w:rPr>
          <w:b w:val="true"/>
          <w:color w:val="333333"/>
          <w:w w:val="95"/>
          <w:sz w:val="24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 de 2021)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2" w:lineRule="auto" w:before="0" w:after="0"/>
        <w:ind w:left="830" w:right="234" w:hanging="360"/>
        <w:jc w:val="left"/>
        <w:rPr>
          <w:b/>
          <w:sz w:val="24"/>
          <w:lang w:val="pt-BR"/>
          <w:rFonts/>
        </w:rPr>
      </w:pPr>
      <w:hyperlink r:id="rId14">
        <w:r>
          <w:rPr>
            <w:b w:val="true"/>
            <w:color w:val="2B71AE"/>
            <w:w w:val="91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Lembrete para que a infraestrutura crítica permaneça vigilante contra ameaças durante feriados e</w:t>
        </w:r>
      </w:hyperlink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fins </w:t>
      </w:r>
      <w:hyperlink r:id="rId14">
        <w:r>
          <w:rPr>
            <w:b w:val="true"/>
            <w:color w:val="2B71AE"/>
            <w:spacing w:val="-8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de semana</w:t>
        </w:r>
      </w:hyperlink>
      <w:r>
        <w:rPr>
          <w:b w:val="true"/>
          <w:color w:val="333333"/>
          <w:spacing w:val="-11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(novembro de 2021)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87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15">
        <w:r>
          <w:rPr>
            <w:b w:val="true"/>
            <w:color w:val="2B71AE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Kit de ferramentas de desinformação sobre a COVID-19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1" w:after="0"/>
        <w:ind w:left="830" w:right="112" w:hanging="360"/>
        <w:jc w:val="left"/>
        <w:rPr>
          <w:b/>
          <w:sz w:val="24"/>
          <w:lang w:val="pt-BR"/>
          <w:rFonts/>
        </w:rPr>
      </w:pPr>
      <w:r>
        <w:rPr>
          <w:b w:val="true"/>
          <w:color w:val="2B71AE"/>
          <w:spacing w:val="-2"/>
          <w:w w:val="9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6">
        <w:r>
          <w:rPr>
            <w:b w:val="true"/>
            <w:color w:val="2B71AE"/>
            <w:spacing w:val="-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autoridades</w:t>
        </w:r>
      </w:hyperlink>
      <w:hyperlink r:id="rId16"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Guia de planejamento e resposta a incidentes de desinformação, desinformação e malinformação (MDM) para</w:t>
        </w:r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eleitorais</w:t>
        </w:r>
      </w:hyperlink>
      <w:r>
        <w:rPr>
          <w:b w:val="true"/>
          <w:color w:val="2B71AE"/>
          <w:spacing w:val="-2"/>
          <w:w w:val="9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4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17">
        <w:r>
          <w:rPr>
            <w:b w:val="true"/>
            <w:color w:val="2B71AE"/>
            <w:w w:val="95"/>
            <w:sz w:val="24"/>
            <w:u w:val="single" w:color="2B71AE"/>
            <w:i w:val="false"/>
            <w:smallCaps w:val="false"/>
            <w:strike w:val="false"/>
            <w:vertAlign w:val="baseline"/>
            <w:spacing w:val="-1"/>
            <w:lang w:val="pt-BR"/>
            <w:rFonts/>
          </w:rPr>
          <w:t xml:space="preserve">Guia de inicialização da página de controle de rumores do MDM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2" w:lineRule="exact" w:before="1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18">
        <w:r>
          <w:rPr>
            <w:b w:val="true"/>
            <w:color w:val="2B71AE"/>
            <w:spacing w:val="-4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Visão geral e avisos sobre ameaças cibernéticas na Rússia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19">
        <w:r>
          <w:rPr>
            <w:b w:val="true"/>
            <w:color w:val="22527B"/>
            <w:w w:val="85"/>
            <w:sz w:val="24"/>
            <w:u w:val="single" w:color="22527B"/>
            <w:i w:val="false"/>
            <w:smallCaps w:val="false"/>
            <w:strike w:val="false"/>
            <w:vertAlign w:val="baseline"/>
            <w:lang w:val="pt-BR"/>
            <w:rFonts/>
          </w:rPr>
          <w:t xml:space="preserve">Ferramentas</w:t>
        </w:r>
        <w:r>
          <w:rPr>
            <w:b w:val="true"/>
            <w:color w:val="22527B"/>
            <w:w w:val="90"/>
            <w:sz w:val="24"/>
            <w:u w:val="single" w:color="22527B"/>
            <w:i w:val="false"/>
            <w:smallCaps w:val="false"/>
            <w:strike w:val="false"/>
            <w:vertAlign w:val="baseline"/>
            <w:spacing w:val="4"/>
            <w:lang w:val="pt-BR"/>
            <w:rFonts/>
          </w:rPr>
          <w:t xml:space="preserve"> e serviços</w:t>
        </w:r>
        <w:r>
          <w:rPr>
            <w:b w:val="true"/>
            <w:color w:val="22527B"/>
            <w:w w:val="85"/>
            <w:sz w:val="24"/>
            <w:u w:val="single" w:color="22527B"/>
            <w:i w:val="false"/>
            <w:smallCaps w:val="false"/>
            <w:strike w:val="false"/>
            <w:vertAlign w:val="baseline"/>
            <w:lang w:val="pt-BR"/>
            <w:rFonts/>
          </w:rPr>
          <w:t xml:space="preserve"> gratuitos de segurança cibernética para os setores público</w:t>
        </w:r>
        <w:r>
          <w:rPr>
            <w:b w:val="true"/>
            <w:color w:val="22527B"/>
            <w:w w:val="90"/>
            <w:sz w:val="24"/>
            <w:u w:val="single" w:color="22527B"/>
            <w:i w:val="false"/>
            <w:smallCaps w:val="false"/>
            <w:strike w:val="false"/>
            <w:vertAlign w:val="baseline"/>
            <w:spacing w:val="5"/>
            <w:lang w:val="pt-BR"/>
            <w:rFonts/>
          </w:rPr>
          <w:t xml:space="preserve"> e privado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2" w:lineRule="exact" w:before="1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20">
        <w:r>
          <w:rPr>
            <w:b w:val="true"/>
            <w:color w:val="2B71AE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Guerra ao abacaxi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0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bookmarkStart w:name=" External Resources" w:id="2"/>
      <w:bookmarkEnd w:id="2"/>
      <w:r>
        <w:rPr>
          <w:b w:val="true"/>
          <w:color w:val="333333"/>
          <w:w w:val="93"/>
          <w:sz w:val="24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Recursos externos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21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Kit de ferramentas de combate à desinformação RESIST 2 - GCS (civilservice.gov.uk)</w:t>
        </w:r>
      </w:hyperlink>
    </w:p>
    <w:p>
      <w:pPr>
        <w:spacing w:after="0" w:line="292" w:lineRule="exact"/>
        <w:jc w:val="left"/>
        <w:rPr>
          <w:sz w:val="24"/>
          <w:lang w:val="pt-BR"/>
          <w:rFonts/>
        </w:rPr>
        <w:sectPr>
          <w:pgSz w:w="12240" w:h="15840"/>
          <w:pgMar w:top="1060" w:bottom="280" w:left="880" w:right="880"/>
        </w:sect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74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22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spacing w:val="4"/>
            <w:lang w:val="pt-BR"/>
            <w:rFonts/>
          </w:rPr>
          <w:t xml:space="preserve">Agência Sueca de Contingências Civis (MSB) | Combate à desinformação</w:t>
        </w:r>
      </w:hyperlink>
    </w:p>
    <w:sectPr>
      <w:pgSz w:w="12240" w:h="15840"/>
      <w:pgMar w:top="78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4" w:hanging="2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76"/>
        <w:sz w:val="24"/>
        <w:szCs w:val="24"/>
        <w:lang w:val="pt-BR" w:eastAsia="en-US" w:bidi="ar-SA"/>
      </w:rPr>
    </w:lvl>
    <w:lvl w:ilvl="1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982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053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195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26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337" w:hanging="360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ind w:left="830" w:hanging="360"/>
    </w:pPr>
    <w:rPr>
      <w:rFonts w:ascii="Tahoma" w:hAnsi="Tahoma" w:eastAsia="Tahoma" w:cs="Tahoma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cisa.gov/shields-up" TargetMode="External"/><Relationship Id="rId8" Type="http://schemas.openxmlformats.org/officeDocument/2006/relationships/hyperlink" Target="https://www.enisa.europa.eu/publications/boosting-your-organisations-cyber-resilience" TargetMode="External"/><Relationship Id="rId9" Type="http://schemas.openxmlformats.org/officeDocument/2006/relationships/hyperlink" Target="https://support.workiva.com/hc/en-us/articles/360035639692-Prepare-for-the-Unexpected" TargetMode="External"/><Relationship Id="rId10" Type="http://schemas.openxmlformats.org/officeDocument/2006/relationships/hyperlink" Target="https://www.cisa.gov/sites/default/files/publications/cisa_insight_mitigating_foreign_influence_508.pdf" TargetMode="External"/><Relationship Id="rId11" Type="http://schemas.openxmlformats.org/officeDocument/2006/relationships/hyperlink" Target="https://www.cisa.gov/sites/default/files/publications/CISA_Insights-Implement_Cybersecurity_Measures_Now_to_Protect_Against_Critical_Threats_508C.pdf" TargetMode="External"/><Relationship Id="rId12" Type="http://schemas.openxmlformats.org/officeDocument/2006/relationships/hyperlink" Target="https://www.cisa.gov/uscert/ncas/alerts/aa22-011a" TargetMode="External"/><Relationship Id="rId13" Type="http://schemas.openxmlformats.org/officeDocument/2006/relationships/hyperlink" Target="https://www.cisa.gov/sites/default/files/publications/CISA_INSIGHTS-Preparing_For_and_Mitigating_Potential_Cyber_Threats-508C.pdf" TargetMode="External"/><Relationship Id="rId14" Type="http://schemas.openxmlformats.org/officeDocument/2006/relationships/hyperlink" Target="https://www.cisa.gov/uscert/ncas/current-activity/2021/11/22/reminder-critical-infrastructure-stay-vigilant-against-threats" TargetMode="External"/><Relationship Id="rId15" Type="http://schemas.openxmlformats.org/officeDocument/2006/relationships/hyperlink" Target="https://www.cisa.gov/publication/covid-19-disinformation-toolkit" TargetMode="External"/><Relationship Id="rId16" Type="http://schemas.openxmlformats.org/officeDocument/2006/relationships/hyperlink" Target="https://www.cisa.gov/sites/default/files/publications/mdm-incident-response-guide_508.pdf" TargetMode="External"/><Relationship Id="rId17" Type="http://schemas.openxmlformats.org/officeDocument/2006/relationships/hyperlink" Target="https://www.cisa.gov/sites/default/files/publications/rumor-control-startup-guide_508.pdf" TargetMode="External"/><Relationship Id="rId18" Type="http://schemas.openxmlformats.org/officeDocument/2006/relationships/hyperlink" Target="https://www.cisa.gov/uscert/russia" TargetMode="External"/><Relationship Id="rId19" Type="http://schemas.openxmlformats.org/officeDocument/2006/relationships/hyperlink" Target="https://www.cisa.gov/free-cybersecurity-tools-and-services" TargetMode="External"/><Relationship Id="rId20" Type="http://schemas.openxmlformats.org/officeDocument/2006/relationships/hyperlink" Target="https://www.cisa.gov/publication/war-pineapple" TargetMode="External"/><Relationship Id="rId21" Type="http://schemas.openxmlformats.org/officeDocument/2006/relationships/hyperlink" Target="https://gcs.civilservice.gov.uk/publications/resist-2-counter-disinformation-toolkit/" TargetMode="External"/><Relationship Id="rId22" Type="http://schemas.openxmlformats.org/officeDocument/2006/relationships/hyperlink" Target="https://counteringdisinformation.org/taxonomy/term/822" TargetMode="External"/><Relationship Id="rId2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Relações com investidores Comunicados à imprensa</dc:title>
  <dcterms:created xsi:type="dcterms:W3CDTF">2024-07-01T10:16:13Z</dcterms:created>
  <dcterms:modified xsi:type="dcterms:W3CDTF">2024-07-01T10:16:13Z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2024-07-01T00:00:00Z</vt:filetime>
  </property>
</Properties>
</file>