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483" w:val="left" w:leader="none"/>
        </w:tabs>
        <w:spacing w:line="240" w:lineRule="auto"/>
        <w:ind w:left="110" w:right="0" w:firstLine="0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sz w:val="20"/>
          <w:i w:val="0"/>
          <w:smallCaps w:val="0"/>
          <w:strike w:val="0"/>
          <w:color w:val="000000"/>
          <w:u w:val="none"/>
          <w:vertAlign w:val="baseline"/>
          <w:lang w:val="pt-BR"/>
        </w:rPr>
        <w:drawing>
          <wp:inline distT="0" distB="0" distL="0" distR="0">
            <wp:extent cx="1986912" cy="52463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6912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position w:val="15"/>
          <w:sz w:val="20"/>
          <w:i w:val="0"/>
          <w:smallCaps w:val="0"/>
          <w:strike w:val="0"/>
          <w:color w:val="000000"/>
          <w:u w:val="none"/>
          <w:vertAlign w:val="baseline"/>
          <w:lang w:val="pt-BR"/>
        </w:rPr>
        <w:drawing>
          <wp:inline distT="0" distB="0" distL="0" distR="0">
            <wp:extent cx="769474" cy="523875"/>
            <wp:effectExtent l="0" t="0" r="0" b="0"/>
            <wp:docPr id="2" name="Image 2" descr="Logo, company name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Logo, company name  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474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rPr>
          <w:rFonts w:ascii="Times New Roman" w:hAnsi="Times New Roman"/>
          <w:lang w:val="pt-BR"/>
        </w:rPr>
      </w:pPr>
    </w:p>
    <w:p>
      <w:pPr>
        <w:pStyle w:val="BodyText"/>
        <w:spacing w:before="86"/>
        <w:rPr>
          <w:rFonts w:ascii="Times New Roman" w:hAnsi="Times New Roman"/>
          <w:lang w:val="pt-BR"/>
        </w:rPr>
      </w:pPr>
    </w:p>
    <w:p>
      <w:pPr>
        <w:pStyle w:val="BodyText"/>
        <w:spacing w:before="1"/>
        <w:ind w:left="110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2 de março de 2022</w:t>
      </w:r>
    </w:p>
    <w:p>
      <w:pPr>
        <w:pStyle w:val="BodyText"/>
        <w:spacing w:before="116"/>
      </w:pPr>
    </w:p>
    <w:p>
      <w:pPr>
        <w:pStyle w:val="BodyText"/>
        <w:spacing w:line="287" w:lineRule="exact"/>
        <w:ind w:left="110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Resposta da Workiva ao ataque da Rússia à Ucrânia: Tempos voláteis exigem maior atenção</w:t>
      </w:r>
    </w:p>
    <w:p>
      <w:pPr>
        <w:pStyle w:val="BodyText"/>
        <w:spacing w:line="287" w:lineRule="exact"/>
        <w:ind w:left="110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preparação para a segurança cibernética.</w:t>
      </w:r>
    </w:p>
    <w:p>
      <w:pPr>
        <w:pStyle w:val="BodyText"/>
        <w:spacing w:before="285"/>
        <w:ind w:left="110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A Workiva segue rigorosamente as diretrizes publicadas pelo U.S. Cybersecurity &amp; Infrastructure</w:t>
      </w:r>
    </w:p>
    <w:p>
      <w:pPr>
        <w:pStyle w:val="BodyText"/>
        <w:spacing w:line="237" w:lineRule="auto" w:before="3"/>
        <w:ind w:left="110" w:right="67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A CISO (Security Agency) </w:t>
      </w:r>
      <w:hyperlink r:id="rId7">
        <w:r>
          <w:rPr>
            <w:u w:val="none"/>
            <w:i w:val="0"/>
            <w:smallCaps w:val="0"/>
            <w:strike w:val="0"/>
            <w:color w:val="000000"/>
            <w:vertAlign w:val="baseline"/>
            <w:lang w:val="pt-BR"/>
            <w:rFonts/>
          </w:rPr>
          <w:t>,</w:t>
        </w:r>
      </w:hyperlink>
      <w:r>
        <w:rPr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a iniciativa SHIELDS UP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6"/>
          <w:lang w:val="pt-BR"/>
          <w:rFonts/>
        </w:rPr>
        <w:t xml:space="preserve"> e </w:t>
      </w:r>
      <w:hyperlink r:id="rId8">
        <w:r>
          <w:rPr>
            <w:color w:val="0000FF"/>
            <w:u w:val="single" w:color="0000FF"/>
            <w:i w:val="false"/>
            <w:smallCaps w:val="false"/>
            <w:strike w:val="false"/>
            <w:vertAlign w:val="baseline"/>
            <w:spacing w:val="-4"/>
            <w:lang w:val="pt-BR"/>
            <w:rFonts/>
          </w:rPr>
          <w:t xml:space="preserve">a orientação da </w:t>
        </w:r>
      </w:hyperlink>
      <w:r>
        <w:rPr>
          <w:color w:val="0000FF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 ENISA (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 European Union Agency  </w:t>
      </w:r>
      <w:hyperlink r:id="rId8">
        <w:r>
          <w:rPr>
            <w:color w:val="0000FF"/>
            <w:u w:val="single" w:color="0000FF"/>
            <w:i w:val="false"/>
            <w:smallCaps w:val="false"/>
            <w:strike w:val="false"/>
            <w:vertAlign w:val="baseline"/>
            <w:lang w:val="pt-BR"/>
            <w:rFonts/>
          </w:rPr>
          <w:t xml:space="preserve">for Cybersecurity</w:t>
        </w:r>
      </w:hyperlink>
      <w:r>
        <w:rPr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) comprometeram-se a compartilhar todos os incidentes ou atividades anômalas com as autoridades competentes da aplicação da lei na(s) jurisdição(ões) onde a atividade ocorre. </w:t>
      </w:r>
    </w:p>
    <w:p>
      <w:pPr>
        <w:pStyle w:val="BodyText"/>
        <w:spacing w:before="288"/>
        <w:ind w:left="110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A Workiva implementou o conjunto de recomendações da ENISA e do CERT-EU: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63" w:val="left" w:leader="none"/>
        </w:tabs>
        <w:spacing w:line="240" w:lineRule="auto" w:before="0" w:after="0"/>
        <w:ind w:left="363" w:right="0" w:hanging="253"/>
        <w:jc w:val="left"/>
        <w:rPr>
          <w:b/>
          <w:sz w:val="24"/>
          <w:lang w:val="pt-BR"/>
          <w:rFonts/>
        </w:rPr>
      </w:pPr>
      <w:r>
        <w:rPr>
          <w:b w:val="true"/>
          <w:w w:val="85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Garanta que os serviços de acesso remoto</w:t>
      </w:r>
      <w:r>
        <w:rPr>
          <w:b w:val="true"/>
          <w:w w:val="91"/>
          <w:sz w:val="24"/>
          <w:i w:val="false"/>
          <w:smallCaps w:val="false"/>
          <w:strike w:val="false"/>
          <w:color w:val="000000"/>
          <w:u w:val="none"/>
          <w:vertAlign w:val="baseline"/>
          <w:spacing w:val="7"/>
          <w:lang w:val="pt-BR"/>
          <w:rFonts/>
        </w:rPr>
        <w:t xml:space="preserve"> exijam autenticação multifator (MFA).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37" w:lineRule="auto" w:before="287" w:after="0"/>
        <w:ind w:left="830" w:right="915" w:hanging="360"/>
        <w:jc w:val="left"/>
        <w:rPr>
          <w:sz w:val="24"/>
          <w:lang w:val="pt-BR"/>
          <w:rFonts/>
        </w:rPr>
      </w:pP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 Workiva exige que todos os constituintes da Workiva usem o Single Sign On com Multi Factor Authentication.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A Workiva recomenda que nossos clientes implementem o Single Sign On.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363" w:val="left" w:leader="none"/>
        </w:tabs>
        <w:spacing w:line="235" w:lineRule="auto" w:before="0" w:after="0"/>
        <w:ind w:left="110" w:right="691" w:firstLine="0"/>
        <w:jc w:val="left"/>
        <w:rPr>
          <w:b/>
          <w:sz w:val="24"/>
          <w:lang w:val="pt-BR"/>
          <w:rFonts/>
        </w:rPr>
      </w:pPr>
      <w:r>
        <w:rPr>
          <w:b w:val="true"/>
          <w:w w:val="91"/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Certifique-se de que os usuários não reutilizem as senhas e incentive-os a usar a autenticação de múltiplos fatores (MFA) sempre que suportada por um aplicativo (nas mídias sociais, por exemplo).</w:t>
      </w:r>
    </w:p>
    <w:p>
      <w:pPr>
        <w:pStyle w:val="BodyText"/>
        <w:spacing w:before="4"/>
        <w:rPr>
          <w:b/>
          <w:lang w:val="pt-BR"/>
          <w:rFonts/>
        </w:rPr>
      </w:pP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37" w:lineRule="auto" w:before="1" w:after="0"/>
        <w:ind w:left="830" w:right="367" w:hanging="360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A Workiva exige uma senha complexa, além de nosso Single Sign On e Multi Factor Authentication.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Recomendamos que os clientes definam senhas de acordo com suas políticas internas e implementem o Single Sign On também.</w:t>
      </w:r>
    </w:p>
    <w:p>
      <w:pPr>
        <w:pStyle w:val="ListParagraph"/>
        <w:numPr>
          <w:ilvl w:val="0"/>
          <w:numId w:val="1"/>
        </w:numPr>
        <w:tabs>
          <w:tab w:pos="363" w:val="left" w:leader="none"/>
        </w:tabs>
        <w:spacing w:line="240" w:lineRule="auto" w:before="289" w:after="0"/>
        <w:ind w:left="363" w:right="0" w:hanging="253"/>
        <w:jc w:val="left"/>
        <w:rPr>
          <w:b/>
          <w:sz w:val="24"/>
          <w:lang w:val="pt-BR"/>
          <w:rFonts/>
        </w:rPr>
      </w:pPr>
      <w:r>
        <w:rPr>
          <w:b w:val="true"/>
          <w:w w:val="91"/>
          <w:sz w:val="24"/>
          <w:i w:val="false"/>
          <w:smallCaps w:val="false"/>
          <w:strike w:val="false"/>
          <w:color w:val="000000"/>
          <w:u w:val="none"/>
          <w:vertAlign w:val="baseline"/>
          <w:spacing w:val="3"/>
          <w:lang w:val="pt-BR"/>
          <w:rFonts/>
        </w:rPr>
        <w:t xml:space="preserve">Assegure-se de que todos os softwares estejam atualizados.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40" w:lineRule="auto" w:before="284" w:after="0"/>
        <w:ind w:left="830" w:right="149" w:hanging="360"/>
        <w:jc w:val="left"/>
        <w:rPr>
          <w:sz w:val="24"/>
          <w:lang w:val="pt-BR"/>
          <w:rFonts/>
        </w:rPr>
      </w:pP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A Workiva utiliza mecanismos automatizados de aplicação de patches para garantir que o software do host e do contêiner seja corrigido e atualizado.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 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As vulnerabilidades identificadas em bibliotecas de terceiros incluídas em nosso aplicativo são priorizadas por gravidade e corrigidas como parte de nosso SDLC.</w:t>
      </w:r>
    </w:p>
    <w:p>
      <w:pPr>
        <w:pStyle w:val="BodyText"/>
        <w:spacing w:before="234"/>
      </w:pPr>
    </w:p>
    <w:p>
      <w:pPr>
        <w:pStyle w:val="ListParagraph"/>
        <w:numPr>
          <w:ilvl w:val="0"/>
          <w:numId w:val="1"/>
        </w:numPr>
        <w:tabs>
          <w:tab w:pos="363" w:val="left" w:leader="none"/>
        </w:tabs>
        <w:spacing w:line="240" w:lineRule="auto" w:before="0" w:after="0"/>
        <w:ind w:left="363" w:right="0" w:hanging="253"/>
        <w:jc w:val="left"/>
        <w:rPr>
          <w:b/>
          <w:sz w:val="24"/>
          <w:lang w:val="pt-BR"/>
          <w:rFonts/>
        </w:rPr>
      </w:pPr>
      <w:r>
        <w:rPr>
          <w:b w:val="true"/>
          <w:w w:val="92"/>
          <w:sz w:val="24"/>
          <w:i w:val="false"/>
          <w:smallCaps w:val="false"/>
          <w:strike w:val="false"/>
          <w:color w:val="000000"/>
          <w:u w:val="none"/>
          <w:vertAlign w:val="baseline"/>
          <w:spacing w:val="5"/>
          <w:lang w:val="pt-BR"/>
          <w:rFonts/>
        </w:rPr>
        <w:t xml:space="preserve">Controle rigorosamente o acesso de terceiros às suas redes e sistemas internos.</w:t>
      </w:r>
    </w:p>
    <w:p>
      <w:pPr>
        <w:pStyle w:val="BodyText"/>
        <w:spacing w:before="2"/>
        <w:rPr>
          <w:b/>
          <w:lang w:val="pt-BR"/>
          <w:rFonts/>
        </w:rPr>
      </w:pP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37" w:lineRule="auto" w:before="0" w:after="0"/>
        <w:ind w:left="830" w:right="271" w:hanging="360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Todo o acesso à Workiva é baseado em privilégios mínimos e requer o uso de IDs exclusivos com adesão às nossas políticas de senha.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O acesso deve ser aprovado pelo gerente funcional e pelo proprietário do sistema, conforme gerenciado por meio de nosso sistema de tíquetes.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Todas as atividades na rede e nos sistemas da Workiva são registradas em nossa ferramenta SIEM centralizada.</w:t>
      </w:r>
    </w:p>
    <w:p>
      <w:pPr>
        <w:pStyle w:val="ListParagraph"/>
        <w:numPr>
          <w:ilvl w:val="0"/>
          <w:numId w:val="1"/>
        </w:numPr>
        <w:tabs>
          <w:tab w:pos="363" w:val="left" w:leader="none"/>
        </w:tabs>
        <w:spacing w:line="240" w:lineRule="auto" w:before="288" w:after="0"/>
        <w:ind w:left="110" w:right="1373" w:firstLine="0"/>
        <w:jc w:val="left"/>
        <w:rPr>
          <w:b/>
          <w:sz w:val="24"/>
          <w:lang w:val="pt-BR"/>
          <w:rFonts/>
        </w:rPr>
      </w:pPr>
      <w:r>
        <w:rPr>
          <w:b w:val="true"/>
          <w:w w:val="90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Preste atenção especial à proteção de seus ambientes de nuvem antes de mover</w:t>
      </w: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8"/>
          <w:lang w:val="pt-BR"/>
          <w:rFonts/>
        </w:rPr>
        <w:t xml:space="preserve"> cargas</w:t>
      </w:r>
      <w:r>
        <w:rPr>
          <w:b w:val="true"/>
          <w:w w:val="90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críticas  para a nuvem. </w:t>
      </w:r>
    </w:p>
    <w:p>
      <w:pPr>
        <w:spacing w:after="0" w:line="240" w:lineRule="auto"/>
        <w:jc w:val="left"/>
        <w:rPr>
          <w:sz w:val="24"/>
          <w:lang w:val="pt-BR"/>
          <w:rFonts/>
        </w:rPr>
        <w:sectPr>
          <w:type w:val="continuous"/>
          <w:pgSz w:w="12240" w:h="15840"/>
          <w:pgMar w:top="1360" w:bottom="280" w:left="880" w:right="880"/>
        </w:sectPr>
      </w:pP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37" w:lineRule="auto" w:before="76" w:after="0"/>
        <w:ind w:left="830" w:right="118" w:hanging="360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A Workiva estabeleceu e documentou nossas definições de configuração de acordo com as linhas de base do Center for Internet Security (CIS) e as listas de verificação em conformidade com o SCAP.</w:t>
      </w:r>
    </w:p>
    <w:p>
      <w:pPr>
        <w:pStyle w:val="ListParagraph"/>
        <w:numPr>
          <w:ilvl w:val="0"/>
          <w:numId w:val="1"/>
        </w:numPr>
        <w:tabs>
          <w:tab w:pos="363" w:val="left" w:leader="none"/>
        </w:tabs>
        <w:spacing w:line="240" w:lineRule="auto" w:before="286" w:after="0"/>
        <w:ind w:left="363" w:right="0" w:hanging="253"/>
        <w:jc w:val="left"/>
        <w:rPr>
          <w:b/>
          <w:sz w:val="24"/>
          <w:lang w:val="pt-BR"/>
          <w:rFonts/>
        </w:rPr>
      </w:pPr>
      <w:r>
        <w:rPr>
          <w:b w:val="true"/>
          <w:w w:val="92"/>
          <w:sz w:val="24"/>
          <w:i w:val="false"/>
          <w:smallCaps w:val="false"/>
          <w:strike w:val="false"/>
          <w:color w:val="000000"/>
          <w:u w:val="none"/>
          <w:vertAlign w:val="baseline"/>
          <w:spacing w:val="4"/>
          <w:lang w:val="pt-BR"/>
          <w:rFonts/>
        </w:rPr>
        <w:t xml:space="preserve">Revise sua estratégia de backup de dados.</w:t>
      </w:r>
    </w:p>
    <w:p>
      <w:pPr>
        <w:pStyle w:val="BodyText"/>
        <w:spacing w:before="2"/>
        <w:rPr>
          <w:b/>
          <w:lang w:val="pt-BR"/>
          <w:rFonts/>
        </w:rPr>
      </w:pP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37" w:lineRule="auto" w:before="1" w:after="0"/>
        <w:ind w:left="830" w:right="277" w:hanging="360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A Workiva utiliza backup redundante de dados para oferecer recuperação pontual.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Além disso, a Workiva permite que os clientes administrem suas contas por conta própria.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A qualquer momento, um cliente pode salvar/exportar um documento ou excluir um documento.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A Workiva suporta o salvamento de arquivos nos formatos DOCX (MS Word), XLSX (MS Excel) ou PDF (Adobe) para arquivamento em seus próprios sistemas.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A Workiva também suporta a exportação em formato XML para uso posterior na plataforma.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37" w:lineRule="auto" w:before="0" w:after="0"/>
        <w:ind w:left="830" w:right="974" w:hanging="360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Ferramentas do cliente</w:t>
      </w:r>
      <w:r>
        <w:rPr>
          <w:spacing w:val="40"/>
          <w:sz w:val="24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 xml:space="preserve"> </w:t>
      </w:r>
      <w:hyperlink r:id="rId9">
        <w:r>
          <w:rPr>
            <w:color w:val="0000FF"/>
            <w:sz w:val="24"/>
            <w:u w:val="single" w:color="0000FF"/>
            <w:i w:val="false"/>
            <w:smallCaps w:val="false"/>
            <w:strike w:val="false"/>
            <w:vertAlign w:val="baseline"/>
            <w:lang w:val="pt-BR"/>
            <w:rFonts/>
          </w:rPr>
          <w:t xml:space="preserve">:https://support.workiva.com/hc/en-us/articles/360035639692- </w:t>
        </w:r>
      </w:hyperlink>
      <w:r>
        <w:rPr>
          <w:color w:val="0000FF"/>
          <w:sz w:val="24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hyperlink r:id="rId9">
        <w:r>
          <w:rPr>
            <w:color w:val="0000FF"/>
            <w:spacing w:val="-2"/>
            <w:sz w:val="24"/>
            <w:u w:val="single" w:color="0000FF"/>
            <w:i w:val="false"/>
            <w:smallCaps w:val="false"/>
            <w:strike w:val="false"/>
            <w:vertAlign w:val="baseline"/>
            <w:lang w:val="pt-BR"/>
            <w:rFonts/>
          </w:rPr>
          <w:t xml:space="preserve">Prepare-se para o inesperado</w:t>
        </w:r>
      </w:hyperlink>
    </w:p>
    <w:p>
      <w:pPr>
        <w:pStyle w:val="BodyText"/>
        <w:spacing w:before="239"/>
      </w:pPr>
    </w:p>
    <w:p>
      <w:pPr>
        <w:pStyle w:val="ListParagraph"/>
        <w:numPr>
          <w:ilvl w:val="0"/>
          <w:numId w:val="1"/>
        </w:numPr>
        <w:tabs>
          <w:tab w:pos="363" w:val="left" w:leader="none"/>
        </w:tabs>
        <w:spacing w:line="237" w:lineRule="auto" w:before="0" w:after="0"/>
        <w:ind w:left="110" w:right="1159" w:firstLine="0"/>
        <w:jc w:val="left"/>
        <w:rPr>
          <w:b/>
          <w:sz w:val="24"/>
          <w:lang w:val="pt-BR"/>
          <w:rFonts/>
        </w:rPr>
      </w:pPr>
      <w:r>
        <w:rPr>
          <w:b w:val="true"/>
          <w:w w:val="85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Altere todas as credenciais padrão e desative os protocolos que não oferecem suporte à</w:t>
      </w:r>
      <w:r>
        <w:rPr>
          <w:b w:val="true"/>
          <w:w w:val="90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 autenticação</w:t>
      </w:r>
      <w:r>
        <w:rPr>
          <w:b w:val="true"/>
          <w:w w:val="85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multifatorial  ou  que  usam autenticação fraca (por exemplo, senhas de texto não criptografado ou protocolo de autenticação ou criptografia desatualizado e vulnerável) </w:t>
      </w:r>
    </w:p>
    <w:p>
      <w:pPr>
        <w:pStyle w:val="BodyText"/>
        <w:spacing w:before="4"/>
        <w:rPr>
          <w:b/>
          <w:lang w:val="pt-BR"/>
          <w:rFonts/>
        </w:rPr>
      </w:pP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37" w:lineRule="auto" w:before="0" w:after="0"/>
        <w:ind w:left="830" w:right="128" w:hanging="360"/>
        <w:jc w:val="left"/>
        <w:rPr>
          <w:sz w:val="24"/>
          <w:lang w:val="pt-BR"/>
          <w:rFonts/>
        </w:rPr>
      </w:pPr>
      <w:r>
        <w:rPr>
          <w:color w:val="000000"/>
          <w:sz w:val="24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A Workiva estabeleceu e documentou nossas definições de configuração de acordo com as linhas de base do Center for Internet Security (CIS) e as listas de verificação compatíveis com o SCAP. 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 Workiva exige que todos os constituintes da Workiva usem o Single Sign On com Multi Factor Authentication.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 Workiva recomenda que nossos clientes implementem o Single Sign On.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363" w:val="left" w:leader="none"/>
        </w:tabs>
        <w:spacing w:line="237" w:lineRule="auto" w:before="1" w:after="0"/>
        <w:ind w:left="110" w:right="1099" w:firstLine="0"/>
        <w:jc w:val="both"/>
        <w:rPr>
          <w:b/>
          <w:sz w:val="24"/>
          <w:lang w:val="pt-BR"/>
          <w:rFonts/>
        </w:rPr>
      </w:pPr>
      <w:r>
        <w:rPr>
          <w:b w:val="true"/>
          <w:w w:val="88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Empregar segmentação e restrições de rede adequadas para limitar o acesso e utilizar atributos adicionais (como informações do dispositivo, ambiente e caminhos de acesso) ao tomar decisões de acesso.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40" w:lineRule="auto" w:before="286" w:after="0"/>
        <w:ind w:left="830" w:right="0" w:hanging="360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7"/>
          <w:lang w:val="pt-BR"/>
          <w:rFonts/>
        </w:rPr>
        <w:t xml:space="preserve">A Workiva proíbe o uso de IDs de usuário compartilhados e todos os acessos ao sistema são registrados.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37" w:lineRule="auto" w:before="4" w:after="0"/>
        <w:ind w:left="830" w:right="426" w:hanging="360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Todas as tarefas administrativas são capturadas em nosso sistema de emissão de tíquetes e são regidas por nosso processo de controle de alterações dentro de nossas Políticas de Segurança da Informação.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Os registros do sistema dos provedores de nuvem são agregados ao nosso SIEM centralizado.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Todo o acesso é concedido por meio de nosso logon único, que requer autenticação multifatorial validada pelo FIPS-140-2.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A confiança do dispositivo é gerenciada e controlada por meio de requisitos e locais específicos do dispositivo.</w:t>
      </w:r>
    </w:p>
    <w:p>
      <w:pPr>
        <w:pStyle w:val="ListParagraph"/>
        <w:numPr>
          <w:ilvl w:val="0"/>
          <w:numId w:val="1"/>
        </w:numPr>
        <w:tabs>
          <w:tab w:pos="363" w:val="left" w:leader="none"/>
        </w:tabs>
        <w:spacing w:line="240" w:lineRule="auto" w:before="289" w:after="0"/>
        <w:ind w:left="363" w:right="0" w:hanging="253"/>
        <w:jc w:val="both"/>
        <w:rPr>
          <w:b/>
          <w:sz w:val="24"/>
          <w:lang w:val="pt-BR"/>
          <w:rFonts/>
        </w:rPr>
      </w:pPr>
      <w:r>
        <w:rPr>
          <w:b w:val="true"/>
          <w:w w:val="92"/>
          <w:sz w:val="24"/>
          <w:i w:val="false"/>
          <w:smallCaps w:val="false"/>
          <w:strike w:val="false"/>
          <w:color w:val="000000"/>
          <w:u w:val="none"/>
          <w:vertAlign w:val="baseline"/>
          <w:spacing w:val="1"/>
          <w:lang w:val="pt-BR"/>
          <w:rFonts/>
        </w:rPr>
        <w:t xml:space="preserve">Realizar treinamentos regulares para garantir que os administradores de TI e de sistemas tenham uma sólida</w:t>
      </w:r>
    </w:p>
    <w:p>
      <w:pPr>
        <w:spacing w:before="1"/>
        <w:ind w:left="110" w:right="0" w:firstLine="0"/>
        <w:jc w:val="left"/>
        <w:rPr>
          <w:b/>
          <w:sz w:val="24"/>
          <w:lang w:val="pt-BR"/>
          <w:rFonts/>
        </w:rPr>
      </w:pPr>
      <w:r>
        <w:rPr>
          <w:b w:val="true"/>
          <w:w w:val="92"/>
          <w:sz w:val="24"/>
          <w:i w:val="false"/>
          <w:smallCaps w:val="false"/>
          <w:strike w:val="false"/>
          <w:color w:val="000000"/>
          <w:u w:val="none"/>
          <w:vertAlign w:val="baseline"/>
          <w:spacing w:val="5"/>
          <w:lang w:val="pt-BR"/>
          <w:rFonts/>
        </w:rPr>
        <w:t xml:space="preserve">compreensão da política de segurança de sua organização e dos procedimentos associados.</w:t>
      </w:r>
    </w:p>
    <w:p>
      <w:pPr>
        <w:pStyle w:val="BodyText"/>
        <w:spacing w:before="1"/>
        <w:rPr>
          <w:b/>
          <w:lang w:val="pt-BR"/>
          <w:rFonts/>
        </w:rPr>
      </w:pP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37" w:lineRule="auto" w:before="1" w:after="0"/>
        <w:ind w:left="830" w:right="1299" w:hanging="360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Os funcionários da Workiva recebem treinamento regular de conscientização de segurança sobre políticas, procedimentos e processos anualmente, com base em sua função e acesso.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37" w:lineRule="auto" w:before="288" w:after="0"/>
        <w:ind w:left="110" w:right="984" w:firstLine="0"/>
        <w:jc w:val="left"/>
        <w:rPr>
          <w:b/>
          <w:sz w:val="24"/>
          <w:lang w:val="pt-BR"/>
          <w:rFonts/>
        </w:rPr>
      </w:pPr>
      <w:r>
        <w:rPr>
          <w:b w:val="true"/>
          <w:w w:val="90"/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Crie um ambiente de segurança de e-mail resiliente ativando a filtragem antispam, adicionando um gateway de e-mail seguro configurado para seguir automaticamente políticas testadas em campo e manuais projetados para impedir que e-mails mal-intencionados cheguem às caixas de correio.</w:t>
      </w:r>
    </w:p>
    <w:p>
      <w:pPr>
        <w:pStyle w:val="BodyText"/>
        <w:spacing w:before="4"/>
        <w:rPr>
          <w:b/>
          <w:lang w:val="pt-BR"/>
          <w:rFonts/>
        </w:rPr>
      </w:pP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37" w:lineRule="auto" w:before="0" w:after="0"/>
        <w:ind w:left="830" w:right="850" w:hanging="360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6"/>
          <w:lang w:val="pt-BR"/>
          <w:rFonts/>
        </w:rPr>
        <w:t xml:space="preserve">A Workiva utiliza filtragem de spam de e-mail e bloqueia qualquer encaminhamento automático de e-mails. Além disso, os dispositivos e servidores executam ferramentas antimalware.</w:t>
      </w:r>
    </w:p>
    <w:p>
      <w:pPr>
        <w:spacing w:after="0" w:line="237" w:lineRule="auto"/>
        <w:jc w:val="left"/>
        <w:rPr>
          <w:sz w:val="24"/>
          <w:lang w:val="pt-BR"/>
          <w:rFonts/>
        </w:rPr>
        <w:sectPr>
          <w:pgSz w:w="12240" w:h="15840"/>
          <w:pgMar w:top="780" w:bottom="280" w:left="880" w:right="880"/>
        </w:sectPr>
      </w:pP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37" w:lineRule="auto" w:before="83" w:after="0"/>
        <w:ind w:left="110" w:right="1311" w:firstLine="0"/>
        <w:jc w:val="both"/>
        <w:rPr>
          <w:b/>
          <w:sz w:val="24"/>
          <w:lang w:val="pt-BR"/>
          <w:rFonts/>
        </w:rPr>
      </w:pPr>
      <w:r>
        <w:rPr>
          <w:b w:val="true"/>
          <w:w w:val="93"/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Organize eventos regulares de conscientização cibernética para treinar seus usuários sobre técnicas comuns de phishing (por exemplo, identificar mensagens falsas/suspeitas) e os efeitos dos ataques de phishing.</w:t>
      </w:r>
    </w:p>
    <w:p>
      <w:pPr>
        <w:pStyle w:val="BodyText"/>
        <w:spacing w:before="1"/>
        <w:rPr>
          <w:b/>
          <w:lang w:val="pt-BR"/>
          <w:rFonts/>
        </w:rPr>
      </w:pP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40" w:lineRule="auto" w:before="0" w:after="0"/>
        <w:ind w:left="830" w:right="331" w:hanging="360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Os funcionários da Workiva passam por vários treinamentos de conscientização de segurança e outros treinamentos pelo menos uma vez por ano.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Além disso, a Workiva realiza campanhas de engenharia social regularmente.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Quando necessário, é fornecido treinamento adicional.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40" w:lineRule="auto" w:before="283" w:after="0"/>
        <w:ind w:left="502" w:right="0" w:hanging="392"/>
        <w:jc w:val="both"/>
        <w:rPr>
          <w:b/>
          <w:sz w:val="24"/>
          <w:lang w:val="pt-BR"/>
          <w:rFonts/>
        </w:rPr>
      </w:pPr>
      <w:r>
        <w:rPr>
          <w:b w:val="true"/>
          <w:w w:val="85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Proteja</w:t>
      </w:r>
      <w:r>
        <w:rPr>
          <w:b w:val="true"/>
          <w:w w:val="92"/>
          <w:sz w:val="24"/>
          <w:i w:val="false"/>
          <w:smallCaps w:val="false"/>
          <w:strike w:val="false"/>
          <w:color w:val="000000"/>
          <w:u w:val="none"/>
          <w:vertAlign w:val="baseline"/>
          <w:spacing w:val="7"/>
          <w:lang w:val="pt-BR"/>
          <w:rFonts/>
        </w:rPr>
        <w:t xml:space="preserve"> seus ativos da Web contra ataques de negação de serviço.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40" w:lineRule="auto" w:before="285" w:after="0"/>
        <w:ind w:left="830" w:right="0" w:hanging="360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A plataforma da Workiva se baseia na plataforma de nuvem da AWS e se beneficia diretamente do</w:t>
      </w:r>
    </w:p>
    <w:p>
      <w:pPr>
        <w:pStyle w:val="BodyText"/>
        <w:spacing w:before="2"/>
        <w:ind w:left="830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serviço gerenciado de proteção contra DDoS, o AWS Shield.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37" w:lineRule="auto" w:before="288" w:after="0"/>
        <w:ind w:left="110" w:right="1202" w:firstLine="0"/>
        <w:jc w:val="both"/>
        <w:rPr>
          <w:b/>
          <w:sz w:val="24"/>
          <w:lang w:val="pt-BR"/>
          <w:rFonts/>
        </w:rPr>
      </w:pPr>
      <w:r>
        <w:rPr>
          <w:b w:val="true"/>
          <w:spacing w:val="-2"/>
          <w:w w:val="90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Bloqueie ou limite severamente o acesso à Internet para servidores ou outros dispositivos que raramente são reinicializados, pois eles são cobiçados por agentes de ameaças para estabelecer backdoors e criar beacons persistentes para a infraestrutura de Comando e Controle (C2).</w:t>
      </w:r>
    </w:p>
    <w:p>
      <w:pPr>
        <w:pStyle w:val="BodyText"/>
        <w:spacing w:before="1"/>
        <w:rPr>
          <w:b/>
          <w:lang w:val="pt-BR"/>
          <w:rFonts/>
        </w:rPr>
      </w:pP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93" w:lineRule="exact" w:before="0" w:after="0"/>
        <w:ind w:left="830" w:right="0" w:hanging="360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A infraestrutura da Workiva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7"/>
          <w:lang w:val="pt-BR"/>
          <w:rFonts/>
        </w:rPr>
        <w:t xml:space="preserve"> opera em um ambiente de "servidores como commodities", os servidores são</w:t>
      </w:r>
    </w:p>
    <w:p>
      <w:pPr>
        <w:pStyle w:val="BodyText"/>
        <w:spacing w:line="288" w:lineRule="exact"/>
        <w:ind w:left="830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de curta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7"/>
          <w:lang w:val="pt-BR"/>
          <w:rFonts/>
        </w:rPr>
        <w:t xml:space="preserve"> duração e gerenciados por configuração como código para garantir que não possam ser modificados.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35" w:lineRule="auto" w:before="0" w:after="0"/>
        <w:ind w:left="110" w:right="985" w:firstLine="0"/>
        <w:jc w:val="left"/>
        <w:rPr>
          <w:b/>
          <w:sz w:val="24"/>
          <w:lang w:val="pt-BR"/>
          <w:rFonts/>
        </w:rPr>
      </w:pPr>
      <w:r>
        <w:rPr>
          <w:b w:val="true"/>
          <w:w w:val="90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Certifique-se de que você tenha os procedimentos para entrar em contato e se comunicar rapidamente com o CSIRT.</w:t>
      </w:r>
    </w:p>
    <w:p>
      <w:pPr>
        <w:pStyle w:val="BodyText"/>
        <w:spacing w:before="4"/>
        <w:rPr>
          <w:b/>
          <w:lang w:val="pt-BR"/>
          <w:rFonts/>
        </w:rPr>
      </w:pP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37" w:lineRule="auto" w:before="0" w:after="0"/>
        <w:ind w:left="830" w:right="1119" w:hanging="360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A Workiva mantém um plano de resposta a incidentes com detalhes de contato para as autoridades relevantes nas jurisdições em que opera.</w:t>
      </w:r>
    </w:p>
    <w:p>
      <w:pPr>
        <w:spacing w:before="287"/>
        <w:ind w:left="110" w:right="0" w:firstLine="0"/>
        <w:jc w:val="left"/>
        <w:rPr>
          <w:b/>
          <w:sz w:val="28"/>
          <w:lang w:val="pt-BR"/>
          <w:rFonts/>
        </w:rPr>
      </w:pPr>
      <w:bookmarkStart w:name="Additional Resources" w:id="1"/>
      <w:bookmarkEnd w:id="1"/>
      <w:r>
        <w:rPr>
          <w:b w:val="true"/>
          <w:color w:val="333333"/>
          <w:spacing w:val="-3"/>
          <w:w w:val="97"/>
          <w:sz w:val="28"/>
          <w:u w:val="single" w:color="333333"/>
          <w:i w:val="false"/>
          <w:smallCaps w:val="false"/>
          <w:strike w:val="false"/>
          <w:vertAlign w:val="baseline"/>
          <w:lang w:val="pt-BR"/>
          <w:rFonts/>
        </w:rPr>
        <w:t xml:space="preserve">Recursos adicionais</w:t>
      </w:r>
    </w:p>
    <w:p>
      <w:pPr>
        <w:pStyle w:val="BodyText"/>
        <w:spacing w:before="48"/>
        <w:rPr>
          <w:b/>
          <w:lang w:val="pt-BR"/>
          <w:rFonts/>
        </w:rPr>
      </w:pP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37" w:lineRule="auto" w:before="0" w:after="0"/>
        <w:ind w:left="830" w:right="829" w:hanging="360"/>
        <w:jc w:val="left"/>
        <w:rPr>
          <w:b/>
          <w:sz w:val="24"/>
          <w:lang w:val="pt-BR"/>
          <w:rFonts/>
        </w:rPr>
      </w:pPr>
      <w:hyperlink r:id="rId10">
        <w:r>
          <w:rPr>
            <w:b w:val="true"/>
            <w:color w:val="2B71AE"/>
            <w:w w:val="85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Insights da CISA: Preparing for and Mitigating Foreign Influence Operations Targeting</w:t>
        </w:r>
      </w:hyperlink>
      <w:r>
        <w:rPr>
          <w:b w:val="true"/>
          <w:color w:val="2B71AE"/>
          <w:spacing w:val="40"/>
          <w:sz w:val="24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</w:t>
      </w:r>
      <w:hyperlink r:id="rId10">
        <w:r>
          <w:rPr>
            <w:b w:val="true"/>
            <w:color w:val="2B71AE"/>
            <w:spacing w:val="-2"/>
            <w:w w:val="90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Critical Infrastructure</w:t>
        </w:r>
      </w:hyperlink>
      <w:r>
        <w:rPr>
          <w:b w:val="true"/>
          <w:color w:val="333333"/>
          <w:spacing w:val="-2"/>
          <w:sz w:val="24"/>
          <w:u w:val="none"/>
          <w:i w:val="false"/>
          <w:smallCaps w:val="false"/>
          <w:strike w:val="false"/>
          <w:vertAlign w:val="baseline"/>
          <w:w w:val="90"/>
          <w:lang w:val="pt-BR"/>
          <w:rFonts/>
        </w:rPr>
        <w:t xml:space="preserve"> (pdf) (fevereiro de 2022)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37" w:lineRule="auto" w:before="2" w:after="0"/>
        <w:ind w:left="830" w:right="707" w:hanging="360"/>
        <w:jc w:val="left"/>
        <w:rPr>
          <w:b/>
          <w:sz w:val="24"/>
          <w:lang w:val="pt-BR"/>
          <w:rFonts/>
        </w:rPr>
      </w:pPr>
      <w:hyperlink r:id="rId11">
        <w:r>
          <w:rPr>
            <w:b w:val="true"/>
            <w:color w:val="2B71AE"/>
            <w:w w:val="92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Insights da CISA: Implemente medidas de segurança cibernética agora para se proteger contra possíveis</w:t>
        </w:r>
      </w:hyperlink>
      <w:r>
        <w:rPr>
          <w:b w:val="true"/>
          <w:color w:val="2B71AE"/>
          <w:spacing w:val="40"/>
          <w:sz w:val="24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</w:t>
      </w:r>
      <w:hyperlink r:id="rId11">
        <w:r>
          <w:rPr>
            <w:b w:val="true"/>
            <w:color w:val="2B71AE"/>
            <w:w w:val="90"/>
            <w:sz w:val="24"/>
            <w:u w:val="single" w:color="2B71AE"/>
            <w:i w:val="false"/>
            <w:smallCaps w:val="false"/>
            <w:strike w:val="false"/>
            <w:vertAlign w:val="baseline"/>
            <w:spacing w:val="-3"/>
            <w:lang w:val="pt-BR"/>
            <w:rFonts/>
          </w:rPr>
          <w:t xml:space="preserve">ameaças críticas</w:t>
        </w:r>
      </w:hyperlink>
      <w:r>
        <w:rPr>
          <w:b w:val="true"/>
          <w:color w:val="333333"/>
          <w:spacing w:val="-4"/>
          <w:sz w:val="24"/>
          <w:u w:val="none"/>
          <w:i w:val="false"/>
          <w:smallCaps w:val="false"/>
          <w:strike w:val="false"/>
          <w:vertAlign w:val="baseline"/>
          <w:w w:val="90"/>
          <w:lang w:val="pt-BR"/>
          <w:rFonts/>
        </w:rPr>
        <w:t xml:space="preserve"> (pdf) (janeiro de 2022)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37" w:lineRule="auto" w:before="3" w:after="0"/>
        <w:ind w:left="830" w:right="971" w:hanging="360"/>
        <w:jc w:val="left"/>
        <w:rPr>
          <w:b/>
          <w:sz w:val="24"/>
          <w:lang w:val="pt-BR"/>
          <w:rFonts/>
        </w:rPr>
      </w:pPr>
      <w:hyperlink r:id="rId12">
        <w:r>
          <w:rPr>
            <w:b w:val="true"/>
            <w:color w:val="2B71AE"/>
            <w:w w:val="92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Alerta (AA22-011A) Entendendo e mitigando</w:t>
        </w:r>
      </w:hyperlink>
      <w:r>
        <w:rPr>
          <w:b w:val="true"/>
          <w:color w:val="2B71AE"/>
          <w:spacing w:val="80"/>
          <w:sz w:val="24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</w:t>
      </w:r>
      <w:hyperlink r:id="rId12">
        <w:r>
          <w:rPr>
            <w:b w:val="true"/>
            <w:color w:val="2B71AE"/>
            <w:w w:val="90"/>
            <w:sz w:val="24"/>
            <w:u w:val="single" w:color="2B71AE"/>
            <w:i w:val="false"/>
            <w:smallCaps w:val="false"/>
            <w:strike w:val="false"/>
            <w:vertAlign w:val="baseline"/>
            <w:spacing w:val="-5"/>
            <w:lang w:val="pt-BR"/>
            <w:rFonts/>
          </w:rPr>
          <w:t xml:space="preserve">as ameaças</w:t>
        </w:r>
      </w:hyperlink>
      <w:r>
        <w:rPr>
          <w:b w:val="true"/>
          <w:color w:val="2B71AE"/>
          <w:spacing w:val="80"/>
          <w:sz w:val="24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cibernéticas patrocinadas pelo Estado russo   à infraestrutura crítica dos EUA</w:t>
      </w:r>
      <w:r>
        <w:rPr>
          <w:b w:val="true"/>
          <w:color w:val="333333"/>
          <w:spacing w:val="-3"/>
          <w:sz w:val="24"/>
          <w:u w:val="none"/>
          <w:i w:val="false"/>
          <w:smallCaps w:val="false"/>
          <w:strike w:val="false"/>
          <w:vertAlign w:val="baseline"/>
          <w:w w:val="90"/>
          <w:lang w:val="pt-BR"/>
          <w:rFonts/>
        </w:rPr>
        <w:t xml:space="preserve"> (janeiro de 2022)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37" w:lineRule="auto" w:before="2" w:after="0"/>
        <w:ind w:left="830" w:right="655" w:hanging="360"/>
        <w:jc w:val="left"/>
        <w:rPr>
          <w:b/>
          <w:sz w:val="24"/>
          <w:lang w:val="pt-BR"/>
          <w:rFonts/>
        </w:rPr>
      </w:pPr>
      <w:hyperlink r:id="rId13">
        <w:r>
          <w:rPr>
            <w:b w:val="true"/>
            <w:color w:val="2B71AE"/>
            <w:w w:val="85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Insights da CISA: Preparando-se e mitigando possíveis ameaças cibernéticas</w:t>
        </w:r>
      </w:hyperlink>
      <w:r>
        <w:rPr>
          <w:b w:val="true"/>
          <w:color w:val="333333"/>
          <w:w w:val="85"/>
          <w:sz w:val="24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(pdf) (dezembro</w:t>
      </w:r>
      <w:r>
        <w:rPr>
          <w:b w:val="true"/>
          <w:color w:val="333333"/>
          <w:w w:val="95"/>
          <w:sz w:val="24"/>
          <w:u w:val="none"/>
          <w:i w:val="false"/>
          <w:smallCaps w:val="false"/>
          <w:strike w:val="false"/>
          <w:vertAlign w:val="baseline"/>
          <w:spacing w:val="-4"/>
          <w:lang w:val="pt-BR"/>
          <w:rFonts/>
        </w:rPr>
        <w:t xml:space="preserve"> de 2021)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42" w:lineRule="auto" w:before="0" w:after="0"/>
        <w:ind w:left="830" w:right="234" w:hanging="360"/>
        <w:jc w:val="left"/>
        <w:rPr>
          <w:b/>
          <w:sz w:val="24"/>
          <w:lang w:val="pt-BR"/>
          <w:rFonts/>
        </w:rPr>
      </w:pPr>
      <w:hyperlink r:id="rId14">
        <w:r>
          <w:rPr>
            <w:b w:val="true"/>
            <w:color w:val="2B71AE"/>
            <w:w w:val="91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Lembrete para que a infraestrutura crítica permaneça vigilante contra ameaças durante feriados e</w:t>
        </w:r>
      </w:hyperlink>
      <w:r>
        <w:rPr>
          <w:b w:val="true"/>
          <w:color w:val="2B71AE"/>
          <w:spacing w:val="80"/>
          <w:sz w:val="24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</w:t>
      </w:r>
      <w:hyperlink r:id="rId14">
        <w:r>
          <w:rPr>
            <w:b w:val="true"/>
            <w:color w:val="2B71AE"/>
            <w:spacing w:val="-8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fins de semana</w:t>
        </w:r>
      </w:hyperlink>
      <w:r>
        <w:rPr>
          <w:b w:val="true"/>
          <w:color w:val="333333"/>
          <w:spacing w:val="-11"/>
          <w:sz w:val="24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(novembro de 2021)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87" w:lineRule="exact" w:before="0" w:after="0"/>
        <w:ind w:left="830" w:right="0" w:hanging="360"/>
        <w:jc w:val="left"/>
        <w:rPr>
          <w:b/>
          <w:sz w:val="24"/>
          <w:lang w:val="pt-BR"/>
          <w:rFonts/>
        </w:rPr>
      </w:pPr>
      <w:hyperlink r:id="rId15">
        <w:r>
          <w:rPr>
            <w:b w:val="true"/>
            <w:color w:val="2B71AE"/>
            <w:w w:val="94"/>
            <w:sz w:val="24"/>
            <w:u w:val="single" w:color="2B71AE"/>
            <w:i w:val="false"/>
            <w:smallCaps w:val="false"/>
            <w:strike w:val="false"/>
            <w:vertAlign w:val="baseline"/>
            <w:spacing w:val="-2"/>
            <w:lang w:val="pt-BR"/>
            <w:rFonts/>
          </w:rPr>
          <w:t xml:space="preserve">Kit de ferramentas de desinformação sobre a COVID-19</w:t>
        </w:r>
      </w:hyperlink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37" w:lineRule="auto" w:before="1" w:after="0"/>
        <w:ind w:left="830" w:right="112" w:hanging="360"/>
        <w:jc w:val="left"/>
        <w:rPr>
          <w:b/>
          <w:sz w:val="24"/>
          <w:lang w:val="pt-BR"/>
          <w:rFonts/>
        </w:rPr>
      </w:pPr>
      <w:hyperlink r:id="rId16">
        <w:r>
          <w:rPr>
            <w:b w:val="true"/>
            <w:color w:val="2B71AE"/>
            <w:spacing w:val="-2"/>
            <w:w w:val="90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Guia de planejamento e resposta a incidentes de desinformação, desinformação e malinformação (MDM) para</w:t>
        </w:r>
      </w:hyperlink>
      <w:r>
        <w:rPr>
          <w:b w:val="true"/>
          <w:color w:val="2B71AE"/>
          <w:spacing w:val="-2"/>
          <w:w w:val="90"/>
          <w:sz w:val="24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</w:t>
      </w:r>
      <w:hyperlink r:id="rId16">
        <w:r>
          <w:rPr>
            <w:b w:val="true"/>
            <w:color w:val="2B71AE"/>
            <w:spacing w:val="-2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autoridades</w:t>
        </w:r>
      </w:hyperlink>
      <w:r>
        <w:rPr>
          <w:b w:val="true"/>
          <w:color w:val="2B71AE"/>
          <w:spacing w:val="-2"/>
          <w:w w:val="90"/>
          <w:sz w:val="24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eleitorais  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94" w:lineRule="exact" w:before="0" w:after="0"/>
        <w:ind w:left="830" w:right="0" w:hanging="360"/>
        <w:jc w:val="left"/>
        <w:rPr>
          <w:b/>
          <w:sz w:val="24"/>
          <w:lang w:val="pt-BR"/>
          <w:rFonts/>
        </w:rPr>
      </w:pPr>
      <w:hyperlink r:id="rId17">
        <w:r>
          <w:rPr>
            <w:b w:val="true"/>
            <w:color w:val="2B71AE"/>
            <w:w w:val="95"/>
            <w:sz w:val="24"/>
            <w:u w:val="single" w:color="2B71AE"/>
            <w:i w:val="false"/>
            <w:smallCaps w:val="false"/>
            <w:strike w:val="false"/>
            <w:vertAlign w:val="baseline"/>
            <w:spacing w:val="-1"/>
            <w:lang w:val="pt-BR"/>
            <w:rFonts/>
          </w:rPr>
          <w:t xml:space="preserve">Guia de inicialização da página de controle de rumores do MDM</w:t>
        </w:r>
      </w:hyperlink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92" w:lineRule="exact" w:before="1" w:after="0"/>
        <w:ind w:left="830" w:right="0" w:hanging="360"/>
        <w:jc w:val="left"/>
        <w:rPr>
          <w:b/>
          <w:sz w:val="24"/>
          <w:lang w:val="pt-BR"/>
          <w:rFonts/>
        </w:rPr>
      </w:pPr>
      <w:hyperlink r:id="rId18">
        <w:r>
          <w:rPr>
            <w:b w:val="true"/>
            <w:color w:val="2B71AE"/>
            <w:spacing w:val="-4"/>
            <w:w w:val="94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Visão geral e avisos sobre ameaças cibernéticas na Rússia</w:t>
        </w:r>
      </w:hyperlink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92" w:lineRule="exact" w:before="0" w:after="0"/>
        <w:ind w:left="830" w:right="0" w:hanging="360"/>
        <w:jc w:val="left"/>
        <w:rPr>
          <w:b/>
          <w:sz w:val="24"/>
          <w:lang w:val="pt-BR"/>
          <w:rFonts/>
        </w:rPr>
      </w:pPr>
      <w:hyperlink r:id="rId19">
        <w:r>
          <w:rPr>
            <w:b w:val="true"/>
            <w:color w:val="22527B"/>
            <w:w w:val="85"/>
            <w:sz w:val="24"/>
            <w:u w:val="single" w:color="22527B"/>
            <w:i w:val="false"/>
            <w:smallCaps w:val="false"/>
            <w:strike w:val="false"/>
            <w:vertAlign w:val="baseline"/>
            <w:lang w:val="pt-BR"/>
            <w:rFonts/>
          </w:rPr>
          <w:t xml:space="preserve">Ferramentas</w:t>
        </w:r>
        <w:r>
          <w:rPr>
            <w:b w:val="true"/>
            <w:color w:val="22527B"/>
            <w:w w:val="90"/>
            <w:sz w:val="24"/>
            <w:u w:val="single" w:color="22527B"/>
            <w:i w:val="false"/>
            <w:smallCaps w:val="false"/>
            <w:strike w:val="false"/>
            <w:vertAlign w:val="baseline"/>
            <w:spacing w:val="4"/>
            <w:lang w:val="pt-BR"/>
            <w:rFonts/>
          </w:rPr>
          <w:t xml:space="preserve"> e serviços</w:t>
        </w:r>
        <w:r>
          <w:rPr>
            <w:b w:val="true"/>
            <w:color w:val="22527B"/>
            <w:w w:val="85"/>
            <w:sz w:val="24"/>
            <w:u w:val="single" w:color="22527B"/>
            <w:i w:val="false"/>
            <w:smallCaps w:val="false"/>
            <w:strike w:val="false"/>
            <w:vertAlign w:val="baseline"/>
            <w:lang w:val="pt-BR"/>
            <w:rFonts/>
          </w:rPr>
          <w:t xml:space="preserve">gratuitos de segurança cibernética para os setores público</w:t>
        </w:r>
        <w:r>
          <w:rPr>
            <w:b w:val="true"/>
            <w:color w:val="22527B"/>
            <w:w w:val="90"/>
            <w:sz w:val="24"/>
            <w:u w:val="single" w:color="22527B"/>
            <w:i w:val="false"/>
            <w:smallCaps w:val="false"/>
            <w:strike w:val="false"/>
            <w:vertAlign w:val="baseline"/>
            <w:spacing w:val="5"/>
            <w:lang w:val="pt-BR"/>
            <w:rFonts/>
          </w:rPr>
          <w:t xml:space="preserve">e privado</w:t>
        </w:r>
      </w:hyperlink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92" w:lineRule="exact" w:before="1" w:after="0"/>
        <w:ind w:left="830" w:right="0" w:hanging="360"/>
        <w:jc w:val="left"/>
        <w:rPr>
          <w:b/>
          <w:sz w:val="24"/>
          <w:lang w:val="pt-BR"/>
          <w:rFonts/>
        </w:rPr>
      </w:pPr>
      <w:hyperlink r:id="rId20">
        <w:r>
          <w:rPr>
            <w:b w:val="true"/>
            <w:color w:val="2B71AE"/>
            <w:w w:val="94"/>
            <w:sz w:val="24"/>
            <w:u w:val="single" w:color="2B71AE"/>
            <w:i w:val="false"/>
            <w:smallCaps w:val="false"/>
            <w:strike w:val="false"/>
            <w:vertAlign w:val="baseline"/>
            <w:spacing w:val="-2"/>
            <w:lang w:val="pt-BR"/>
            <w:rFonts/>
          </w:rPr>
          <w:t xml:space="preserve">Guerra ao abacaxi</w:t>
        </w:r>
      </w:hyperlink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90" w:lineRule="exact" w:before="0" w:after="0"/>
        <w:ind w:left="830" w:right="0" w:hanging="360"/>
        <w:jc w:val="left"/>
        <w:rPr>
          <w:b/>
          <w:sz w:val="24"/>
          <w:lang w:val="pt-BR"/>
          <w:rFonts/>
        </w:rPr>
      </w:pPr>
      <w:bookmarkStart w:name=" External Resources" w:id="2"/>
      <w:bookmarkEnd w:id="2"/>
      <w:r>
        <w:rPr>
          <w:b w:val="true"/>
          <w:color w:val="333333"/>
          <w:w w:val="93"/>
          <w:sz w:val="24"/>
          <w:i w:val="false"/>
          <w:smallCaps w:val="false"/>
          <w:strike w:val="false"/>
          <w:u w:val="none"/>
          <w:vertAlign w:val="baseline"/>
          <w:spacing w:val="4"/>
          <w:lang w:val="pt-BR"/>
          <w:rFonts/>
        </w:rPr>
        <w:t xml:space="preserve">Recursos externos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92" w:lineRule="exact" w:before="0" w:after="0"/>
        <w:ind w:left="830" w:right="0" w:hanging="360"/>
        <w:jc w:val="left"/>
        <w:rPr>
          <w:b/>
          <w:sz w:val="24"/>
          <w:lang w:val="pt-BR"/>
          <w:rFonts/>
        </w:rPr>
      </w:pPr>
      <w:hyperlink r:id="rId21">
        <w:r>
          <w:rPr>
            <w:b w:val="true"/>
            <w:color w:val="2B71AE"/>
            <w:w w:val="90"/>
            <w:sz w:val="24"/>
            <w:u w:val="single" w:color="2B71AE"/>
            <w:i w:val="false"/>
            <w:smallCaps w:val="false"/>
            <w:strike w:val="false"/>
            <w:vertAlign w:val="baseline"/>
            <w:spacing w:val="-5"/>
            <w:lang w:val="pt-BR"/>
            <w:rFonts/>
          </w:rPr>
          <w:t xml:space="preserve">Kit de ferramentas de combate à desinformação RESIST 2 - GCS (civilservice.gov.uk)</w:t>
        </w:r>
      </w:hyperlink>
    </w:p>
    <w:p>
      <w:pPr>
        <w:spacing w:after="0" w:line="292" w:lineRule="exact"/>
        <w:jc w:val="left"/>
        <w:rPr>
          <w:sz w:val="24"/>
          <w:lang w:val="pt-BR"/>
          <w:rFonts/>
        </w:rPr>
        <w:sectPr>
          <w:pgSz w:w="12240" w:h="15840"/>
          <w:pgMar w:top="1060" w:bottom="280" w:left="880" w:right="880"/>
        </w:sectPr>
      </w:pP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40" w:lineRule="auto" w:before="74" w:after="0"/>
        <w:ind w:left="830" w:right="0" w:hanging="360"/>
        <w:jc w:val="left"/>
        <w:rPr>
          <w:b/>
          <w:sz w:val="24"/>
          <w:lang w:val="pt-BR"/>
          <w:rFonts/>
        </w:rPr>
      </w:pPr>
      <w:hyperlink r:id="rId22">
        <w:r>
          <w:rPr>
            <w:b w:val="true"/>
            <w:color w:val="2B71AE"/>
            <w:w w:val="92"/>
            <w:sz w:val="24"/>
            <w:u w:val="single" w:color="2B71AE"/>
            <w:i w:val="false"/>
            <w:smallCaps w:val="false"/>
            <w:strike w:val="false"/>
            <w:vertAlign w:val="baseline"/>
            <w:spacing w:val="4"/>
            <w:lang w:val="pt-BR"/>
            <w:rFonts/>
          </w:rPr>
          <w:t xml:space="preserve">Agência Sueca de Contingências Civis (MSB) | Combate à desinformação</w:t>
        </w:r>
      </w:hyperlink>
    </w:p>
    <w:sectPr>
      <w:pgSz w:w="12240" w:h="15840"/>
      <w:pgMar w:top="780" w:bottom="280" w:left="8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64" w:hanging="255"/>
        <w:jc w:val="left"/>
      </w:pPr>
      <w:rPr>
        <w:rFonts w:hint="default" w:ascii="Tahoma" w:hAnsi="Tahoma" w:eastAsia="Tahoma" w:cs="Tahoma"/>
        <w:b/>
        <w:bCs/>
        <w:i w:val="0"/>
        <w:iCs w:val="0"/>
        <w:spacing w:val="0"/>
        <w:w w:val="76"/>
        <w:sz w:val="24"/>
        <w:szCs w:val="24"/>
        <w:lang w:val="pt-BR" w:eastAsia="en-US" w:bidi="ar-SA"/>
      </w:rPr>
    </w:lvl>
    <w:lvl w:ilvl="1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2">
      <w:start w:val="0"/>
      <w:numFmt w:val="bullet"/>
      <w:lvlText w:val="•"/>
      <w:lvlJc w:val="left"/>
      <w:pPr>
        <w:ind w:left="1911" w:hanging="360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2982" w:hanging="360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4053" w:hanging="360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5124" w:hanging="360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6195" w:hanging="360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7266" w:hanging="360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8337" w:hanging="360"/>
      </w:pPr>
      <w:rPr>
        <w:rFonts w:hint="default"/>
        <w:lang w:val="pt-B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pt-BR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B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4"/>
      <w:szCs w:val="24"/>
      <w:lang w:val="pt-BR" w:eastAsia="en-US" w:bidi="ar-SA"/>
    </w:rPr>
  </w:style>
  <w:style w:styleId="ListParagraph" w:type="paragraph">
    <w:name w:val="List Paragraph"/>
    <w:basedOn w:val="Normal"/>
    <w:uiPriority w:val="1"/>
    <w:qFormat/>
    <w:pPr>
      <w:ind w:left="830" w:hanging="360"/>
    </w:pPr>
    <w:rPr>
      <w:rFonts w:ascii="Tahoma" w:hAnsi="Tahoma" w:eastAsia="Tahoma" w:cs="Tahoma"/>
      <w:lang w:val="pt-B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BR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www.cisa.gov/shields-up" TargetMode="External"/><Relationship Id="rId8" Type="http://schemas.openxmlformats.org/officeDocument/2006/relationships/hyperlink" Target="https://www.enisa.europa.eu/publications/boosting-your-organisations-cyber-resilience" TargetMode="External"/><Relationship Id="rId9" Type="http://schemas.openxmlformats.org/officeDocument/2006/relationships/hyperlink" Target="https://support.workiva.com/hc/en-us/articles/360035639692-Prepare-for-the-Unexpected" TargetMode="External"/><Relationship Id="rId10" Type="http://schemas.openxmlformats.org/officeDocument/2006/relationships/hyperlink" Target="https://www.cisa.gov/sites/default/files/publications/cisa_insight_mitigating_foreign_influence_508.pdf" TargetMode="External"/><Relationship Id="rId11" Type="http://schemas.openxmlformats.org/officeDocument/2006/relationships/hyperlink" Target="https://www.cisa.gov/sites/default/files/publications/CISA_Insights-Implement_Cybersecurity_Measures_Now_to_Protect_Against_Critical_Threats_508C.pdf" TargetMode="External"/><Relationship Id="rId12" Type="http://schemas.openxmlformats.org/officeDocument/2006/relationships/hyperlink" Target="https://www.cisa.gov/uscert/ncas/alerts/aa22-011a" TargetMode="External"/><Relationship Id="rId13" Type="http://schemas.openxmlformats.org/officeDocument/2006/relationships/hyperlink" Target="https://www.cisa.gov/sites/default/files/publications/CISA_INSIGHTS-Preparing_For_and_Mitigating_Potential_Cyber_Threats-508C.pdf" TargetMode="External"/><Relationship Id="rId14" Type="http://schemas.openxmlformats.org/officeDocument/2006/relationships/hyperlink" Target="https://www.cisa.gov/uscert/ncas/current-activity/2021/11/22/reminder-critical-infrastructure-stay-vigilant-against-threats" TargetMode="External"/><Relationship Id="rId15" Type="http://schemas.openxmlformats.org/officeDocument/2006/relationships/hyperlink" Target="https://www.cisa.gov/publication/covid-19-disinformation-toolkit" TargetMode="External"/><Relationship Id="rId16" Type="http://schemas.openxmlformats.org/officeDocument/2006/relationships/hyperlink" Target="https://www.cisa.gov/sites/default/files/publications/mdm-incident-response-guide_508.pdf" TargetMode="External"/><Relationship Id="rId17" Type="http://schemas.openxmlformats.org/officeDocument/2006/relationships/hyperlink" Target="https://www.cisa.gov/sites/default/files/publications/rumor-control-startup-guide_508.pdf" TargetMode="External"/><Relationship Id="rId18" Type="http://schemas.openxmlformats.org/officeDocument/2006/relationships/hyperlink" Target="https://www.cisa.gov/uscert/russia" TargetMode="External"/><Relationship Id="rId19" Type="http://schemas.openxmlformats.org/officeDocument/2006/relationships/hyperlink" Target="https://www.cisa.gov/free-cybersecurity-tools-and-services" TargetMode="External"/><Relationship Id="rId20" Type="http://schemas.openxmlformats.org/officeDocument/2006/relationships/hyperlink" Target="https://www.cisa.gov/publication/war-pineapple" TargetMode="External"/><Relationship Id="rId21" Type="http://schemas.openxmlformats.org/officeDocument/2006/relationships/hyperlink" Target="https://gcs.civilservice.gov.uk/publications/resist-2-counter-disinformation-toolkit/" TargetMode="External"/><Relationship Id="rId22" Type="http://schemas.openxmlformats.org/officeDocument/2006/relationships/hyperlink" Target="https://counteringdisinformation.org/taxonomy/term/822" TargetMode="External"/><Relationship Id="rId2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Relações com investidores Comunicados à imprensa</dc:title>
  <dcterms:created xsi:type="dcterms:W3CDTF">2024-12-10T16:46:33Z</dcterms:created>
  <dcterms:modified xsi:type="dcterms:W3CDTF">2024-12-10T16:46:33Z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2024-12-10T00:00:00Z</vt:filetime>
  </property>
</Properties>
</file>