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90" w:val="left" w:leader="none"/>
        </w:tabs>
        <w:spacing w:line="240" w:lineRule="auto"/>
        <w:ind w:left="110" w:right="0" w:firstLine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mc:AlternateContent>
          <mc:Choice Requires="wps">
            <w:drawing>
              <wp:inline distT="0" distB="0" distL="0" distR="0">
                <wp:extent cx="2033905" cy="54927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33905" cy="549275"/>
                          <a:chExt cx="2033905" cy="549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94916" y="542925"/>
                            <a:ext cx="387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350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417" y="6350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45" cy="526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60.15pt;height:43.25pt;mso-position-horizontal-relative:char;mso-position-vertical-relative:line" id="docshapegroup1" coordorigin="0,0" coordsize="3203,865">
                <v:rect style="position:absolute;left:3141;top:855;width:61;height:10" id="docshape2" filled="true" fillcolor="#000000" stroked="false">
                  <v:fill type="solid"/>
                </v:rect>
                <v:shape style="position:absolute;left:0;top:0;width:3140;height:829" type="#_x0000_t75" id="docshape3" stroked="false">
                  <v:imagedata r:id="rId5" o:title=""/>
                </v:shape>
              </v:group>
            </w:pict>
          </mc:Fallback>
        </mc:AlternateContent>
      </w: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position w:val="4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1871309" cy="466725"/>
            <wp:effectExtent l="0" t="0" r="0" b="0"/>
            <wp:docPr id="4" name="Image 4" descr="Shields U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Shields U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0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5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2 de março de 2022</w:t>
      </w:r>
    </w:p>
    <w:p>
      <w:pPr>
        <w:pStyle w:val="BodyText"/>
        <w:spacing w:before="115"/>
      </w:pPr>
    </w:p>
    <w:p>
      <w:pPr>
        <w:pStyle w:val="BodyText"/>
        <w:spacing w:line="287" w:lineRule="exact" w:before="1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Resposta da Workiva ao ataque da Rússia à Ucrânia: Tempos voláteis exigem maior atenção</w:t>
      </w: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preparação para a segurança cibernética.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A Workiva segue à risca as diretrizes publicadas pela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da U.S. Cybersecurity &amp; Infrastructure Security Agency (CISO) </w:t>
      </w:r>
      <w:hyperlink r:id="rId7">
        <w:r>
          <w:rPr>
            <w:color w:val="1154CC"/>
            <w:u w:val="single" w:color="1154CC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iniciativa SHIELDS UP</w:t>
        </w:r>
        <w:r>
          <w:rPr>
            <w:u w:val="non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 e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se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comprometeu a compartilhar quaisquer incidentes ou atividades anômalas com as autoridades policiais competentes na(s) jurisdição(ões) onde a atividade ocorre.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spacing w:before="1"/>
        <w:rPr>
          <w:u w:val="none"/>
          <w:lang w:val="pt-BR"/>
          <w:rFonts/>
        </w:rPr>
      </w:pPr>
      <w:bookmarkStart w:name="Reduce the likelihood of a damaging cybe" w:id="1"/>
      <w:bookmarkEnd w:id="1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3"/>
          <w:lang w:val="pt-BR"/>
          <w:rFonts/>
        </w:rPr>
        <w:t xml:space="preserve">Reduzir a probabilidade de uma intrusão cibernética prejudicial</w:t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27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Valide que todos os acessos remotos à rede da organização e os acessos privilegiados ou administrativos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acesso requer autenticação multifatorial.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9" w:after="0"/>
        <w:ind w:left="830" w:right="91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 Workiva recomenda que nossos clientes implementem o Single Sign On.</w:t>
      </w:r>
    </w:p>
    <w:p>
      <w:pPr>
        <w:pStyle w:val="BodyText"/>
      </w:pPr>
    </w:p>
    <w:p>
      <w:pPr>
        <w:pStyle w:val="BodyText"/>
        <w:spacing w:before="18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Assegure-se de que o software esteja atualizado, priorizando as atualizações que tratam das</w:t>
      </w:r>
      <w:hyperlink r:id="rId8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exploradas conhecidas </w:t>
        </w:r>
      </w:hyperlink>
      <w:r>
        <w:rPr>
          <w:b/>
          <w:color w:val="2B71AE"/>
          <w:spacing w:val="80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8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vulnerabilidades</w:t>
        </w:r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 identificadas pela CISA</w:t>
        </w:r>
        <w:r>
          <w:rPr>
            <w:b/>
            <w:color w:val="333333"/>
            <w:w w:val="90"/>
            <w:sz w:val="24"/>
            <w:u w:val="none"/>
            <w:i w:val="0"/>
            <w:smallCaps w:val="0"/>
            <w:strike w:val="0"/>
            <w:vertAlign w:val="baseline"/>
            <w:lang w:val="pt-BR"/>
            <w:rFonts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0" w:after="0"/>
        <w:ind w:left="830" w:right="149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utiliza mecanismos automatizados de aplicação de patches para garantir que o software do host e do contêiner seja corrigido e atualizado.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As vulnerabilidades identificadas em bibliotecas de terceiros incluídas em nosso aplicativo são priorizadas por gravidade e corrigidas como parte de nosso SDLC.</w:t>
      </w: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Confirme se a equipe de TI da organização desativou todas as portas e protocolos que não são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essenciais para fins comerciais.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4" w:after="0"/>
        <w:ind w:left="830" w:right="128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compatíveis com o SCAP.</w:t>
      </w:r>
    </w:p>
    <w:p>
      <w:pPr>
        <w:pStyle w:val="BodyText"/>
        <w:spacing w:before="277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8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a organização estiver usando serviços em nuvem, certifique-se de que o pessoal de TI tenha analisado e implementado </w:t>
      </w:r>
      <w:hyperlink r:id="rId9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os fortes controles descritos na orientação da CISA</w:t>
        </w:r>
        <w:r>
          <w:rPr>
            <w:b/>
            <w:color w:val="333333"/>
            <w:w w:val="90"/>
            <w:sz w:val="24"/>
            <w:u w:val="none"/>
            <w:i w:val="0"/>
            <w:smallCaps w:val="0"/>
            <w:strike w:val="0"/>
            <w:vertAlign w:val="baseline"/>
            <w:lang w:val="pt-BR"/>
            <w:rFonts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6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A Workiva obteve o FedRAMP Moderate e a ISO 27001:2013.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209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Todo o acesso à Workiva é baseado em privilégios mínimos e requer o uso de IDs exclusivos com adesão às nossas políticas de senha, incluindo a exigência de logon único e autenticação de dois fatores.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acesso deve ser aprovado pelo gerente funcional e pelo sistema</w:t>
      </w:r>
    </w:p>
    <w:p>
      <w:pPr>
        <w:spacing w:after="0" w:line="240" w:lineRule="auto"/>
        <w:jc w:val="left"/>
        <w:rPr>
          <w:rFonts w:ascii="Symbol" w:hAnsi="Symbol"/>
          <w:sz w:val="24"/>
          <w:lang w:val="pt-BR"/>
        </w:rPr>
        <w:sectPr>
          <w:type w:val="continuous"/>
          <w:pgSz w:w="12240" w:h="15840"/>
          <w:pgMar w:top="1200" w:bottom="280" w:left="880" w:right="880"/>
        </w:sectPr>
      </w:pPr>
    </w:p>
    <w:p>
      <w:pPr>
        <w:pStyle w:val="BodyText"/>
        <w:spacing w:line="287" w:lineRule="exact" w:before="75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proprietário, conforme gerenciado por meio de nosso sistema de tíquetes.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Todas as atividades dentro da rede da Workiva e</w:t>
      </w:r>
    </w:p>
    <w:p>
      <w:pPr>
        <w:pStyle w:val="BodyText"/>
        <w:spacing w:line="287" w:lineRule="exact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são registrados em nossa ferramenta SIEM centralizada.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536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A Workiva utiliza filtragem de spam de e-mail e bloqueia qualquer encaminhamento automático de e-mails. Além disso, os dispositivos e servidores executam ferramentas antimalware.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Os funcionários passam por avaliações mensais de engenharia social.</w:t>
      </w:r>
    </w:p>
    <w:p>
      <w:pPr>
        <w:pStyle w:val="BodyText"/>
        <w:spacing w:before="288"/>
      </w:pPr>
    </w:p>
    <w:p>
      <w:pPr>
        <w:spacing w:line="235" w:lineRule="auto" w:before="0"/>
        <w:ind w:left="110" w:right="0" w:firstLine="0"/>
        <w:jc w:val="left"/>
        <w:rPr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Inscreva-se nos </w:t>
      </w:r>
      <w:hyperlink r:id="rId1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serviços gratuitos de higiene cibernética da CISA</w:t>
        </w:r>
      </w:hyperlink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 incluindo a verificação de vulnerabilidades, para ajudar a reduzir a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spacing w:val="-8"/>
          <w:lang w:val="pt-BR"/>
          <w:rFonts/>
        </w:rPr>
        <w:t xml:space="preserve"> exposição a ameaças</w:t>
      </w:r>
      <w:r>
        <w:rPr>
          <w:color w:val="333333"/>
          <w:spacing w:val="-6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1" w:after="0"/>
        <w:ind w:left="830" w:right="16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Embora a Workiva não esteja qualificada para os serviços da CISA (não é um provedor de infraestrutura crítica), a Workiva é FedRAMP Moderate.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Além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disso, a Workiva fornece aos clientes relatórios de terceiros feitos por provedores autorizados pelo PCI/CREST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para realizar varreduras e testes externos semestralmente, além de nossas varreduras e testes internos.</w:t>
      </w:r>
    </w:p>
    <w:p>
      <w:pPr>
        <w:pStyle w:val="BodyText"/>
        <w:spacing w:before="7"/>
      </w:pPr>
    </w:p>
    <w:p>
      <w:pPr>
        <w:pStyle w:val="Heading1"/>
        <w:rPr>
          <w:u w:val="none"/>
          <w:lang w:val="pt-BR"/>
          <w:rFonts/>
        </w:rPr>
      </w:pPr>
      <w:bookmarkStart w:name="Take steps to quickly detect a potential" w:id="2"/>
      <w:bookmarkEnd w:id="2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Tome medidas para detectar rapidamente uma possível intrusão</w:t>
      </w:r>
    </w:p>
    <w:p>
      <w:pPr>
        <w:pStyle w:val="BodyText"/>
        <w:spacing w:before="13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bookmarkStart w:name="Ensure that cybersecurity/IT personnel a" w:id="3"/>
      <w:bookmarkEnd w:id="3"/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Certifique-se de que a equipe de segurança cibernética/TI esteja concentrada em identificar e avaliar rapidamente qualquer comportamento inesperado ou incomum da rede.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Habilite o registro em log para investigar melhor os problemas ou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eventos.</w:t>
      </w:r>
    </w:p>
    <w:p>
      <w:pPr>
        <w:pStyle w:val="BodyText"/>
        <w:spacing w:before="8"/>
        <w:rPr>
          <w:b/>
          <w:lang w:val="pt-BR"/>
          <w:rFonts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0" w:after="0"/>
        <w:ind w:left="830" w:right="122" w:hanging="360"/>
        <w:jc w:val="left"/>
        <w:rPr>
          <w:rFonts w:ascii="Symbol" w:hAnsi="Symbol"/>
          <w:sz w:val="24"/>
          <w:lang w:val="pt-BR"/>
        </w:rPr>
      </w:pPr>
      <w:bookmarkStart w:name=" Workiva utilizes our security informat" w:id="4"/>
      <w:bookmarkEnd w:id="4"/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utiliza nosso sistema de gerenciamento de eventos e informações de segurança (SIEM) para fornecer monitoramento contínuo e análise de registros.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equipe de segurança da informação da Workiva analisa os logs e alertas quanto a considerações de desempenho e segurança, incluindo logs relacionados a autenticação, endpoint, aplicativo da Web e muito mais.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logs são armazenados em um sistema central de logs, transmitidos por um canal criptografado, criptografados em repouso e segregados de outros sistemas e usuários.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registros não podem ser modificados depois de gravados e a exclusão do registro é monitorada.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As informações de registro coletadas incluem informações como hora, tamanho dos dados, latência de resposta, tipo de transação, método de serviço da Web invocado, informações de usuário/conta/serviço, nome do host/ip, ação e/ou recursos envolvidos.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Os registros são continuamente monitorados quanto a anormalidades e investigados de acordo com nossos padrões e políticas.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Nossos alertas são continuamente revisados quanto à precisão, cobertura e eficácia, e os manuais são desenvolvidos e mantidos para padronizar e melhorar a resposta.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Esses dados são usados para realizar investigações de eventos e incidentes de segurança relatados.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1203" w:hanging="360"/>
        <w:jc w:val="left"/>
        <w:rPr>
          <w:rFonts w:ascii="Symbol" w:hAnsi="Symbol"/>
          <w:sz w:val="24"/>
          <w:lang w:val="pt-BR"/>
        </w:rPr>
      </w:pPr>
      <w:bookmarkStart w:name=" Activities within a customer organizat" w:id="5"/>
      <w:bookmarkEnd w:id="5"/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Mais informações podem ser encontradas em nosso site de ajuda: </w:t>
      </w:r>
      <w:hyperlink r:id="rId11">
        <w:r>
          <w:rPr>
            <w:color w:val="1154CC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https://support.workiva.com/hc/en- </w:t>
        </w:r>
      </w:hyperlink>
      <w:r>
        <w:rPr>
          <w:color w:val="1154CC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1">
        <w:r>
          <w:rPr>
            <w:color w:val="1154CC"/>
            <w:spacing w:val="-2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us/articles/360035646392-View-Organization-Activities</w:t>
        </w:r>
      </w:hyperlink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Confirme se toda a rede da organização está protegida por software antivírus/antimalware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 se as assinaturas dessas ferramentas estão atualizadas.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auto" w:before="155" w:after="0"/>
        <w:ind w:left="830" w:right="687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dispositivos e servidores da Workiva são protegidos por software antimalware com proteção em tempo real e atualizações ativadas.</w:t>
      </w:r>
    </w:p>
    <w:p>
      <w:pPr>
        <w:spacing w:after="0" w:line="242" w:lineRule="auto"/>
        <w:jc w:val="left"/>
        <w:rPr>
          <w:rFonts w:ascii="Symbol" w:hAnsi="Symbol"/>
          <w:sz w:val="24"/>
          <w:lang w:val="pt-BR"/>
        </w:rPr>
        <w:sectPr>
          <w:pgSz w:w="12240" w:h="15840"/>
          <w:pgMar w:top="780" w:bottom="280" w:left="880" w:right="880"/>
        </w:sectPr>
      </w:pPr>
    </w:p>
    <w:p>
      <w:pPr>
        <w:spacing w:before="75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estiver trabalhando com organizações ucranianas, tome cuidado extra para monitorar, inspecionar e isolar o tráfego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dessas organizações; analise atentamente os controles de acesso a esse tráfego.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não tem nenhuma operação na Ucrânia.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rPr>
          <w:u w:val="none"/>
          <w:lang w:val="pt-BR"/>
          <w:rFonts/>
        </w:rPr>
      </w:pPr>
      <w:bookmarkStart w:name="Ensure that the organization is prepared" w:id="6"/>
      <w:bookmarkEnd w:id="6"/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Assegure-se de que a organização esteja preparada para reagir em caso de invasão.</w:t>
      </w:r>
    </w:p>
    <w:p>
      <w:pPr>
        <w:spacing w:line="237" w:lineRule="auto" w:before="165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Designe uma equipe de resposta a crises com os principais pontos de contato para uma suspeita de incidente de segurança cibernética e funções/responsabilidades dentro da organização, incluindo tecnologia, comunicações, jurídico e continuidade dos negócios.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1" w:after="0"/>
        <w:ind w:left="830" w:right="290" w:hanging="360"/>
        <w:jc w:val="left"/>
        <w:rPr>
          <w:rFonts w:ascii="Symbol" w:hAnsi="Symbol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 equipe de Segurança da Informação da Workiva reconhece a necessidade de estar alerta aos riscos externos e está atenta à procura de possíveis problemas.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Também empregamos o monitoramento ativo das principais informações usadas para identificar ameaças.</w:t>
      </w:r>
    </w:p>
    <w:p>
      <w:pPr>
        <w:pStyle w:val="BodyText"/>
        <w:spacing w:line="287" w:lineRule="exact"/>
        <w:ind w:left="830"/>
      </w:pPr>
      <w:r>
        <w:rPr>
          <w:color w:val="3333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mantém um plano de resposta a incidentes que</w:t>
      </w:r>
      <w:r>
        <w:rPr>
          <w:color w:val="33333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aborda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3" w:lineRule="exact" w:before="156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Identificação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0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Isolamento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Resolução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88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Comunicação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95" w:lineRule="exact" w:before="0" w:after="0"/>
        <w:ind w:left="1550" w:right="0" w:hanging="359"/>
        <w:jc w:val="left"/>
        <w:rPr>
          <w:sz w:val="24"/>
          <w:lang w:val="pt-BR"/>
          <w:rFonts/>
        </w:rPr>
      </w:pPr>
      <w:r>
        <w:rPr>
          <w:color w:val="333333"/>
          <w:spacing w:val="-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Escalonamento</w:t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w w:val="92"/>
          <w:lang w:val="pt-BR"/>
          <w:rFonts/>
        </w:rPr>
        <w:t xml:space="preserve">Assegurar a disponibilidade do pessoal-chave; identificar meios de fornecer suporte de surto para responder a</w:t>
      </w:r>
      <w:r>
        <w:rPr>
          <w:b w:val="true"/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um incidente.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163" w:after="0"/>
        <w:ind w:left="830" w:right="17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Workiva mantém uma equipe de suporte 24 horas por dia, 7 dias por semana, com paginação de plantão para as equipes relevantes, que é testada anualmente como parte de nossos testes de continuidade de negócios e recuperação de desastres.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110" w:right="30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33333"/>
          <w:w w:val="8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Realize um exercício de mesa para garantir que todos os participantes entendam suas funções durante um</w:t>
      </w:r>
      <w:r>
        <w:rPr>
          <w:b w:val="true"/>
          <w:color w:val="333333"/>
          <w:w w:val="95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incidente.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201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 Workiva realiza exercícios de mesa trimestrais, além de testes anuais de continuidade de negócios e recuperação de desastres para garantir que as equipes estejam bem versadas nos planos da Workiva e conheçam suas respectivas funções.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  <w:rPr>
          <w:u w:val="none"/>
          <w:lang w:val="pt-BR"/>
          <w:rFonts/>
        </w:rPr>
      </w:pPr>
      <w:bookmarkStart w:name="Maximize the organization's resilience t" w:id="7"/>
      <w:bookmarkEnd w:id="7"/>
      <w:r>
        <w:rPr>
          <w:color w:val="333333"/>
          <w:w w:val="85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Maximizar a resistência da organização</w:t>
      </w:r>
      <w:r>
        <w:rPr>
          <w:color w:val="333333"/>
          <w:w w:val="92"/>
          <w:u w:val="single" w:color="333333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 a um incidente cibernético destrutivo</w:t>
      </w:r>
    </w:p>
    <w:p>
      <w:pPr>
        <w:pStyle w:val="BodyText"/>
        <w:spacing w:before="13"/>
        <w:rPr>
          <w:b/>
          <w:lang w:val="pt-BR"/>
          <w:rFonts/>
        </w:rPr>
      </w:pPr>
    </w:p>
    <w:p>
      <w:pPr>
        <w:spacing w:before="0"/>
        <w:ind w:left="110" w:right="0" w:firstLine="0"/>
        <w:jc w:val="left"/>
        <w:rPr>
          <w:b/>
          <w:sz w:val="24"/>
          <w:lang w:val="pt-BR"/>
          <w:rFonts/>
        </w:rPr>
      </w:pPr>
      <w:bookmarkStart w:name="Test backup procedures to ensure that cr" w:id="8"/>
      <w:bookmarkEnd w:id="8"/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os procedimentos de backup para garantir que os dados essenciais possam ser restaurados rapidamente se a organização for</w:t>
      </w:r>
      <w:r>
        <w:rPr>
          <w:b w:val="true"/>
          <w:color w:val="333333"/>
          <w:w w:val="91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afetada por ransomware ou por um ataque cibernético destrutivo; certifique-se de que os backups estejam isolados das conexões de rede.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5" w:after="0"/>
        <w:ind w:left="830" w:right="564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utiliza backup redundante de dados para oferecer recuperação pontual.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Além disso, a Workiva permite que os clientes administrem suas contas por conta própria.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qualquer momento, um cliente pode salvar/exportar um documento ou excluir um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apóia a economia</w:t>
      </w:r>
    </w:p>
    <w:p>
      <w:pPr>
        <w:spacing w:after="0" w:line="240" w:lineRule="auto"/>
        <w:jc w:val="left"/>
        <w:rPr>
          <w:rFonts w:ascii="Symbol" w:hAnsi="Symbol"/>
          <w:sz w:val="24"/>
          <w:lang w:val="pt-BR"/>
        </w:rPr>
        <w:sectPr>
          <w:pgSz w:w="12240" w:h="15840"/>
          <w:pgMar w:top="780" w:bottom="280" w:left="880" w:right="880"/>
        </w:sectPr>
      </w:pPr>
    </w:p>
    <w:p>
      <w:pPr>
        <w:pStyle w:val="BodyText"/>
        <w:spacing w:line="235" w:lineRule="auto" w:before="80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arquivos nos formatos DOCX (MS Word), XLSX (MS Excel) ou PDF (Adobe) para arquivamento em seus próprios sistemas.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4" w:after="0"/>
        <w:ind w:left="830" w:right="119" w:hanging="360"/>
        <w:jc w:val="left"/>
        <w:rPr>
          <w:rFonts w:ascii="Symbol" w:hAnsi="Symbol"/>
          <w:sz w:val="24"/>
          <w:lang w:val="pt-BR"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Ferramentas do cliente: </w:t>
      </w:r>
      <w:hyperlink r:id="rId12">
        <w:r>
          <w:rPr>
            <w:color w:val="1154CC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https://support.workiva.com/hc/en-us/articles/360035639692-Prepare- </w:t>
        </w:r>
      </w:hyperlink>
      <w:r>
        <w:rPr>
          <w:color w:val="1154CC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2">
        <w:r>
          <w:rPr>
            <w:color w:val="1154CC"/>
            <w:spacing w:val="-2"/>
            <w:sz w:val="24"/>
            <w:u w:val="single" w:color="1154CC"/>
            <w:i w:val="false"/>
            <w:smallCaps w:val="false"/>
            <w:strike w:val="false"/>
            <w:vertAlign w:val="baseline"/>
            <w:lang w:val="pt-BR"/>
            <w:rFonts/>
          </w:rPr>
          <w:t xml:space="preserve">for-the-Unexpected</w:t>
        </w:r>
      </w:hyperlink>
    </w:p>
    <w:p>
      <w:pPr>
        <w:pStyle w:val="BodyText"/>
        <w:spacing w:before="156"/>
      </w:pPr>
    </w:p>
    <w:p>
      <w:pPr>
        <w:spacing w:before="0"/>
        <w:ind w:left="110" w:right="302" w:firstLine="0"/>
        <w:jc w:val="both"/>
        <w:rPr>
          <w:b/>
          <w:sz w:val="24"/>
          <w:lang w:val="pt-BR"/>
          <w:rFonts/>
        </w:rPr>
      </w:pPr>
      <w:r>
        <w:rPr>
          <w:b w:val="true"/>
          <w:color w:val="333333"/>
          <w:w w:val="92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 estiver usando sistemas de controle industrial ou tecnologia operacional, realize um teste de controles manuais</w:t>
      </w:r>
      <w:r>
        <w:rPr>
          <w:b w:val="true"/>
          <w:color w:val="333333"/>
          <w:w w:val="90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para garantir que as funções essenciais permaneçam operáveis se a rede da organização não estiver disponível ou não for confiável.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60" w:after="0"/>
        <w:ind w:left="830" w:right="0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Workiva não utiliza sistemas de controle industrial.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7" w:after="0"/>
        <w:ind w:left="830" w:right="321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Ao implementar as etapas acima, todas as organizações podem fazer progressos de curto prazo para melhorar a segurança cibernética e a resiliência.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Além disso, embora os incidentes cibernéticos recentes não tenham sido atribuídos a agentes específicos, a CISA recomenda que o pessoal de segurança cibernética/TI de todas as organizações analise o documento </w:t>
      </w:r>
      <w:hyperlink r:id="rId13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Understanding and Mitigating Russian State-Sponsored Cyber </w:t>
        </w:r>
      </w:hyperlink>
      <w:r>
        <w:rPr>
          <w:color w:val="2B71AE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13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Threats to U.S. Critical Infrastructure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A CISA também recomenda que as organizações visitem o </w:t>
      </w:r>
      <w:hyperlink r:id="rId14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StopRansomware.gov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, uma página da Web centralizada e de todo o governo que fornece recursos e alertas sobre ransomware.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8" w:after="0"/>
        <w:ind w:left="830" w:right="264" w:hanging="360"/>
        <w:jc w:val="left"/>
        <w:rPr>
          <w:rFonts w:ascii="Symbol" w:hAnsi="Symbol"/>
          <w:color w:val="333333"/>
          <w:sz w:val="24"/>
          <w:lang w:val="pt-BR"/>
        </w:rPr>
      </w:pP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Como agência de defesa cibernética do país, a CISA está disponível para ajudar as organizações a melhorar a segurança cibernética e a resiliência, inclusive por meio de especialistas em segurança cibernética designados em todo o país.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No caso de um incidente cibernético, a CISA pode oferecer assistência às organizações vítimas e usar as informações dos relatórios de incidentes para proteger outras possíveis vítimas.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Todas as organizações devem relatar incidentes e atividades anômalas à </w:t>
      </w:r>
      <w:hyperlink r:id="rId15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CISA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e/ou ao FBI por meio do </w:t>
      </w:r>
      <w:hyperlink r:id="rId16">
        <w:r>
          <w:rPr>
            <w:color w:val="2B71AE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escritório local do FBI</w:t>
        </w:r>
      </w:hyperlink>
      <w:r>
        <w:rPr>
          <w:color w:val="333333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ou do CyWatch 24/7 do FBI pelo telefone (855) 292-3937 ou pelo site </w:t>
      </w:r>
      <w:hyperlink r:id="rId17">
        <w:r>
          <w:rPr>
            <w:color w:val="333333"/>
            <w:spacing w:val="-2"/>
            <w:sz w:val="24"/>
            <w:u w:val="none"/>
            <w:i w:val="0"/>
            <w:smallCaps w:val="0"/>
            <w:strike w:val="0"/>
            <w:vertAlign w:val="baseline"/>
            <w:lang w:val="pt-BR"/>
            <w:rFonts/>
          </w:rPr>
          <w:t> CyWatch@fbi.gov.</w:t>
        </w:r>
      </w:hyperlink>
    </w:p>
    <w:p>
      <w:pPr>
        <w:pStyle w:val="Heading1"/>
        <w:spacing w:before="144"/>
        <w:rPr>
          <w:u w:val="none"/>
          <w:lang w:val="pt-BR"/>
          <w:rFonts/>
        </w:rPr>
      </w:pPr>
      <w:bookmarkStart w:name="Additional Resources" w:id="9"/>
      <w:bookmarkEnd w:id="9"/>
      <w:r>
        <w:rPr>
          <w:color w:val="333333"/>
          <w:spacing w:val="-3"/>
          <w:w w:val="97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Recursos adicionais</w:t>
      </w:r>
    </w:p>
    <w:p>
      <w:pPr>
        <w:pStyle w:val="BodyText"/>
        <w:spacing w:before="54"/>
        <w:rPr>
          <w:b/>
          <w:lang w:val="pt-BR"/>
          <w:rFonts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0" w:after="0"/>
        <w:ind w:left="830" w:right="829" w:hanging="360"/>
        <w:jc w:val="left"/>
        <w:rPr>
          <w:rFonts w:ascii="Symbol" w:hAnsi="Symbol"/>
          <w:sz w:val="24"/>
          <w:lang w:val="pt-BR"/>
        </w:rPr>
      </w:pPr>
      <w:hyperlink r:id="rId18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Preparing for and Mitigating Foreign Influence Operations Targeting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8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Critical Infrastructure</w:t>
        </w:r>
      </w:hyperlink>
      <w:r>
        <w:rPr>
          <w:b w:val="true"/>
          <w:color w:val="333333"/>
          <w:spacing w:val="-2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(fevereiro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3" w:after="0"/>
        <w:ind w:left="830" w:right="707" w:hanging="360"/>
        <w:jc w:val="left"/>
        <w:rPr>
          <w:rFonts w:ascii="Symbol" w:hAnsi="Symbol"/>
          <w:sz w:val="24"/>
          <w:lang w:val="pt-BR"/>
        </w:rPr>
      </w:pPr>
      <w:hyperlink r:id="rId19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Implemente medidas de segurança cibernética agora para se proteger contra possíveis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9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3"/>
            <w:lang w:val="pt-BR"/>
            <w:rFonts/>
          </w:rPr>
          <w:t xml:space="preserve">ameaças críticas</w:t>
        </w:r>
      </w:hyperlink>
      <w:r>
        <w:rPr>
          <w:b w:val="true"/>
          <w:color w:val="333333"/>
          <w:spacing w:val="-4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(janeiro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971" w:hanging="360"/>
        <w:jc w:val="left"/>
        <w:rPr>
          <w:rFonts w:ascii="Symbol" w:hAnsi="Symbol"/>
          <w:sz w:val="24"/>
          <w:lang w:val="pt-BR"/>
        </w:rPr>
      </w:pPr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3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Alerta (AA22-011A) Entendendo e mitigando</w:t>
        </w:r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cibernéticas patrocinadas pelo Estado russo</w:t>
        </w:r>
      </w:hyperlink>
      <w:hyperlink r:id="rId13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as ameaças</w:t>
        </w:r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à infraestrutura crítica dos EUA</w:t>
        </w:r>
      </w:hyperlink>
      <w:r>
        <w:rPr>
          <w:b w:val="true"/>
          <w:color w:val="333333"/>
          <w:spacing w:val="-3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(janeiro de 2022)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655" w:hanging="360"/>
        <w:jc w:val="left"/>
        <w:rPr>
          <w:rFonts w:ascii="Symbol" w:hAnsi="Symbol"/>
          <w:sz w:val="24"/>
          <w:lang w:val="pt-BR"/>
        </w:rPr>
      </w:pPr>
      <w:hyperlink r:id="rId2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Preparando-se e mitigando possíveis ameaças cibernéticas</w:t>
        </w:r>
      </w:hyperlink>
      <w:r>
        <w:rPr>
          <w:b w:val="true"/>
          <w:color w:val="333333"/>
          <w:w w:val="85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(pdf) (dezembro</w:t>
      </w:r>
      <w:r>
        <w:rPr>
          <w:b w:val="true"/>
          <w:color w:val="333333"/>
          <w:w w:val="95"/>
          <w:sz w:val="24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de 2021)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234" w:hanging="360"/>
        <w:jc w:val="left"/>
        <w:rPr>
          <w:rFonts w:ascii="Symbol" w:hAnsi="Symbol"/>
          <w:sz w:val="24"/>
          <w:lang w:val="pt-BR"/>
        </w:rPr>
      </w:pPr>
      <w:hyperlink r:id="rId21">
        <w:r>
          <w:rPr>
            <w:b w:val="true"/>
            <w:color w:val="2B71AE"/>
            <w:w w:val="91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Lembrete para que a infraestrutura crítica permaneça vigilante contra ameaças durante feriados e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fins </w:t>
      </w:r>
      <w:hyperlink r:id="rId21">
        <w:r>
          <w:rPr>
            <w:b w:val="true"/>
            <w:color w:val="2B71AE"/>
            <w:spacing w:val="-8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de semana</w:t>
        </w:r>
      </w:hyperlink>
      <w:r>
        <w:rPr>
          <w:b w:val="true"/>
          <w:color w:val="333333"/>
          <w:spacing w:val="-11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(novembro de 2021)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2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Kit de ferramentas de desinformação sobre a COVID-19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3" w:after="0"/>
        <w:ind w:left="830" w:right="112" w:hanging="360"/>
        <w:jc w:val="left"/>
        <w:rPr>
          <w:rFonts w:ascii="Symbol" w:hAnsi="Symbol"/>
          <w:sz w:val="24"/>
          <w:lang w:val="pt-BR"/>
        </w:rPr>
      </w:pPr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23">
        <w:r>
          <w:rPr>
            <w:b w:val="true"/>
            <w:color w:val="2B71AE"/>
            <w:spacing w:val="-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autoridades</w:t>
        </w:r>
      </w:hyperlink>
      <w:hyperlink r:id="rId23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Guia de planejamento e resposta a incidentes de desinformação, desinformação e malinformação (MDM) para</w:t>
        </w:r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eleitorais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4">
        <w:r>
          <w:rPr>
            <w:b w:val="true"/>
            <w:color w:val="2B71AE"/>
            <w:w w:val="95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Guia de inicialização da página de controle de rumores do MDM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5">
        <w:r>
          <w:rPr>
            <w:b w:val="true"/>
            <w:color w:val="2B71AE"/>
            <w:spacing w:val="-4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Visão geral e avisos sobre ameaças cibernéticas na Rússia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6"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Ferramentas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 e serviços</w:t>
        </w:r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 gratuitos de segurança cibernética para os setores público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5"/>
            <w:lang w:val="pt-BR"/>
            <w:rFonts/>
          </w:rPr>
          <w:t xml:space="preserve"> e privado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7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Guerra ao abacaxi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bookmarkStart w:name=" External Resources" w:id="10"/>
      <w:bookmarkEnd w:id="10"/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Recursos externos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8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Kit de ferramentas de combate à desinformação RESIST 2 - GCS (civilservice.gov.uk)</w:t>
        </w:r>
      </w:hyperlink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" w:after="0"/>
        <w:ind w:left="830" w:right="0" w:hanging="360"/>
        <w:jc w:val="left"/>
        <w:rPr>
          <w:rFonts w:ascii="Symbol" w:hAnsi="Symbol"/>
          <w:sz w:val="24"/>
          <w:lang w:val="pt-BR"/>
        </w:rPr>
      </w:pPr>
      <w:hyperlink r:id="rId29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Agência Sueca de Contingências Civis (MSB) | Combate à desinformação</w:t>
        </w:r>
      </w:hyperlink>
    </w:p>
    <w:sectPr>
      <w:pgSz w:w="12240" w:h="15840"/>
      <w:pgMar w:top="7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spacing w:val="0"/>
        <w:w w:val="100"/>
        <w:lang w:val="pt-BR" w:eastAsia="en-US" w:bidi="ar-SA"/>
      </w:rPr>
    </w:lvl>
    <w:lvl w:ilvl="1">
      <w:start w:val="0"/>
      <w:numFmt w:val="bullet"/>
      <w:lvlText w:val="o"/>
      <w:lvlJc w:val="left"/>
      <w:pPr>
        <w:ind w:left="155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551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524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ahoma" w:hAnsi="Tahoma" w:eastAsia="Tahoma" w:cs="Tahoma"/>
      <w:b/>
      <w:bCs/>
      <w:sz w:val="28"/>
      <w:szCs w:val="28"/>
      <w:u w:val="single" w:color="000000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cisa.gov/shields-up" TargetMode="External"/><Relationship Id="rId8" Type="http://schemas.openxmlformats.org/officeDocument/2006/relationships/hyperlink" Target="https://www.cisa.gov/known-exploited-vulnerabilities-catalog" TargetMode="External"/><Relationship Id="rId9" Type="http://schemas.openxmlformats.org/officeDocument/2006/relationships/hyperlink" Target="https://www.cisa.gov/uscert/ncas/analysis-reports/ar21-013a" TargetMode="External"/><Relationship Id="rId10" Type="http://schemas.openxmlformats.org/officeDocument/2006/relationships/hyperlink" Target="https://www.cisa.gov/cyber-hygiene-services" TargetMode="External"/><Relationship Id="rId11" Type="http://schemas.openxmlformats.org/officeDocument/2006/relationships/hyperlink" Target="https://support.workiva.com/hc/en-us/articles/360035646392-View-Organization-Activities" TargetMode="External"/><Relationship Id="rId12" Type="http://schemas.openxmlformats.org/officeDocument/2006/relationships/hyperlink" Target="https://support.workiva.com/hc/en-us/articles/360035639692-Prepare-for-the-Unexpected" TargetMode="External"/><Relationship Id="rId13" Type="http://schemas.openxmlformats.org/officeDocument/2006/relationships/hyperlink" Target="https://www.cisa.gov/uscert/ncas/alerts/aa22-011a" TargetMode="External"/><Relationship Id="rId14" Type="http://schemas.openxmlformats.org/officeDocument/2006/relationships/hyperlink" Target="https://www.cisa.gov/stopransomware" TargetMode="External"/><Relationship Id="rId15" Type="http://schemas.openxmlformats.org/officeDocument/2006/relationships/hyperlink" Target="https://www.cisa.gov/uscert/report" TargetMode="External"/><Relationship Id="rId16" Type="http://schemas.openxmlformats.org/officeDocument/2006/relationships/hyperlink" Target="https://www.fbi.gov/contact-us/field-offices" TargetMode="External"/><Relationship Id="rId17" Type="http://schemas.openxmlformats.org/officeDocument/2006/relationships/hyperlink" Target="mailto:CyWatch@fbi.gov" TargetMode="External"/><Relationship Id="rId18" Type="http://schemas.openxmlformats.org/officeDocument/2006/relationships/hyperlink" Target="https://www.cisa.gov/sites/default/files/publications/cisa_insight_mitigating_foreign_influence_508.pdf" TargetMode="External"/><Relationship Id="rId19" Type="http://schemas.openxmlformats.org/officeDocument/2006/relationships/hyperlink" Target="https://www.cisa.gov/sites/default/files/publications/CISA_Insights-Implement_Cybersecurity_Measures_Now_to_Protect_Against_Critical_Threats_508C.pdf" TargetMode="External"/><Relationship Id="rId20" Type="http://schemas.openxmlformats.org/officeDocument/2006/relationships/hyperlink" Target="https://www.cisa.gov/sites/default/files/publications/CISA_INSIGHTS-Preparing_For_and_Mitigating_Potential_Cyber_Threats-508C.pdf" TargetMode="External"/><Relationship Id="rId21" Type="http://schemas.openxmlformats.org/officeDocument/2006/relationships/hyperlink" Target="https://www.cisa.gov/uscert/ncas/current-activity/2021/11/22/reminder-critical-infrastructure-stay-vigilant-against-threats" TargetMode="External"/><Relationship Id="rId22" Type="http://schemas.openxmlformats.org/officeDocument/2006/relationships/hyperlink" Target="https://www.cisa.gov/publication/covid-19-disinformation-toolkit" TargetMode="External"/><Relationship Id="rId23" Type="http://schemas.openxmlformats.org/officeDocument/2006/relationships/hyperlink" Target="https://www.cisa.gov/sites/default/files/publications/mdm-incident-response-guide_508.pdf" TargetMode="External"/><Relationship Id="rId24" Type="http://schemas.openxmlformats.org/officeDocument/2006/relationships/hyperlink" Target="https://www.cisa.gov/sites/default/files/publications/rumor-control-startup-guide_508.pdf" TargetMode="External"/><Relationship Id="rId25" Type="http://schemas.openxmlformats.org/officeDocument/2006/relationships/hyperlink" Target="https://www.cisa.gov/uscert/russia" TargetMode="External"/><Relationship Id="rId26" Type="http://schemas.openxmlformats.org/officeDocument/2006/relationships/hyperlink" Target="https://www.cisa.gov/free-cybersecurity-tools-and-services" TargetMode="External"/><Relationship Id="rId27" Type="http://schemas.openxmlformats.org/officeDocument/2006/relationships/hyperlink" Target="https://www.cisa.gov/publication/war-pineapple" TargetMode="External"/><Relationship Id="rId28" Type="http://schemas.openxmlformats.org/officeDocument/2006/relationships/hyperlink" Target="https://gcs.civilservice.gov.uk/publications/resist-2-counter-disinformation-toolkit/" TargetMode="External"/><Relationship Id="rId29" Type="http://schemas.openxmlformats.org/officeDocument/2006/relationships/hyperlink" Target="https://counteringdisinformation.org/taxonomy/term/822" TargetMode="External"/><Relationship Id="rId3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Relações com investidores Comunicados à imprensa</dc:title>
  <dcterms:created xsi:type="dcterms:W3CDTF">2024-07-01T10:16:14Z</dcterms:created>
  <dcterms:modified xsi:type="dcterms:W3CDTF">2024-07-01T10:16:14Z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